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5A" w:rsidRDefault="00730C5A" w:rsidP="00730C5A">
      <w:pPr>
        <w:rPr>
          <w:rFonts w:asciiTheme="minorHAnsi" w:hAnsiTheme="minorHAnsi" w:cstheme="minorBidi"/>
          <w:color w:val="1F497D"/>
        </w:rPr>
      </w:pPr>
      <w:bookmarkStart w:id="0" w:name="_GoBack"/>
      <w:bookmarkEnd w:id="0"/>
    </w:p>
    <w:p w:rsidR="00730C5A" w:rsidRDefault="00730C5A" w:rsidP="00730C5A">
      <w:pPr>
        <w:rPr>
          <w:rFonts w:asciiTheme="minorHAnsi" w:hAnsiTheme="minorHAnsi" w:cstheme="minorBidi"/>
          <w:color w:val="1F497D"/>
        </w:rPr>
      </w:pPr>
    </w:p>
    <w:p w:rsidR="00730C5A" w:rsidRDefault="00730C5A" w:rsidP="00730C5A">
      <w:pPr>
        <w:ind w:left="0"/>
        <w:rPr>
          <w:rFonts w:eastAsia="Times New Roman"/>
        </w:rPr>
      </w:pPr>
      <w:r>
        <w:rPr>
          <w:rFonts w:eastAsia="Times New Roman"/>
          <w:b/>
          <w:bCs/>
        </w:rPr>
        <w:t>From:</w:t>
      </w:r>
      <w:r>
        <w:rPr>
          <w:rFonts w:eastAsia="Times New Roman"/>
        </w:rPr>
        <w:t xml:space="preserve"> Bernadette Parrillo [mailto:bparrillo@ripcpc.com] </w:t>
      </w:r>
      <w:r>
        <w:rPr>
          <w:rFonts w:eastAsia="Times New Roman"/>
        </w:rPr>
        <w:br/>
      </w:r>
      <w:r>
        <w:rPr>
          <w:rFonts w:eastAsia="Times New Roman"/>
          <w:b/>
          <w:bCs/>
        </w:rPr>
        <w:t>Sent:</w:t>
      </w:r>
      <w:r>
        <w:rPr>
          <w:rFonts w:eastAsia="Times New Roman"/>
        </w:rPr>
        <w:t xml:space="preserve"> Friday, June 12, 2020 2:56 PM</w:t>
      </w:r>
      <w:r>
        <w:rPr>
          <w:rFonts w:eastAsia="Times New Roman"/>
        </w:rPr>
        <w:br/>
      </w:r>
      <w:r>
        <w:rPr>
          <w:rFonts w:eastAsia="Times New Roman"/>
          <w:b/>
          <w:bCs/>
        </w:rPr>
        <w:t>To:</w:t>
      </w:r>
      <w:r>
        <w:rPr>
          <w:rFonts w:eastAsia="Times New Roman"/>
        </w:rPr>
        <w:t xml:space="preserve"> Susanne Campbell &lt;scampbell@ctc-ri.org&gt;</w:t>
      </w:r>
      <w:r>
        <w:rPr>
          <w:rFonts w:eastAsia="Times New Roman"/>
        </w:rPr>
        <w:br/>
      </w:r>
      <w:r>
        <w:rPr>
          <w:rFonts w:eastAsia="Times New Roman"/>
          <w:b/>
          <w:bCs/>
        </w:rPr>
        <w:t>Cc:</w:t>
      </w:r>
      <w:r>
        <w:rPr>
          <w:rFonts w:eastAsia="Times New Roman"/>
        </w:rPr>
        <w:t xml:space="preserve"> Candice Brown &lt;cbrown@ctc-ri.org&gt;</w:t>
      </w:r>
      <w:r>
        <w:rPr>
          <w:rFonts w:eastAsia="Times New Roman"/>
        </w:rPr>
        <w:br/>
      </w:r>
      <w:r>
        <w:rPr>
          <w:rFonts w:eastAsia="Times New Roman"/>
          <w:b/>
          <w:bCs/>
        </w:rPr>
        <w:t>Subject:</w:t>
      </w:r>
      <w:r>
        <w:rPr>
          <w:rFonts w:eastAsia="Times New Roman"/>
        </w:rPr>
        <w:t xml:space="preserve"> Questions from CTC re: Virtual PCMH Patient Satisfaction Surveys using Constant Contact </w:t>
      </w:r>
    </w:p>
    <w:p w:rsidR="00730C5A" w:rsidRDefault="00730C5A" w:rsidP="00730C5A"/>
    <w:p w:rsidR="00730C5A" w:rsidRDefault="00730C5A" w:rsidP="00730C5A">
      <w:pPr>
        <w:spacing w:line="240" w:lineRule="atLeast"/>
      </w:pPr>
      <w:r>
        <w:t>[WARNING] This email originated outside of our organization, please USE CAUTION when clicking on links or attachments.</w:t>
      </w:r>
    </w:p>
    <w:p w:rsidR="00730C5A" w:rsidRDefault="00D62955" w:rsidP="00730C5A">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0.8pt;height:1.5pt" o:hralign="center" o:hrstd="t" o:hr="t" fillcolor="#a0a0a0" stroked="f"/>
        </w:pict>
      </w:r>
    </w:p>
    <w:p w:rsidR="00730C5A" w:rsidRDefault="00730C5A" w:rsidP="00730C5A">
      <w:r>
        <w:t xml:space="preserve">Hello Susanne, </w:t>
      </w:r>
    </w:p>
    <w:p w:rsidR="00730C5A" w:rsidRDefault="00730C5A" w:rsidP="00730C5A">
      <w:r>
        <w:t xml:space="preserve">It was nice to see and talk to you again earlier this week.  I have some answers to the questions you asked about our new process for satisfying the PCMH patient experience requirements, using </w:t>
      </w:r>
      <w:r>
        <w:rPr>
          <w:i/>
          <w:iCs/>
        </w:rPr>
        <w:t xml:space="preserve">Constant Contact </w:t>
      </w:r>
      <w:r>
        <w:t>to conduct a</w:t>
      </w:r>
      <w:r>
        <w:rPr>
          <w:i/>
          <w:iCs/>
        </w:rPr>
        <w:t xml:space="preserve"> </w:t>
      </w:r>
      <w:r>
        <w:t xml:space="preserve">virtual survey.   </w:t>
      </w:r>
    </w:p>
    <w:p w:rsidR="00730C5A" w:rsidRDefault="00730C5A" w:rsidP="00730C5A"/>
    <w:p w:rsidR="00730C5A" w:rsidRDefault="00730C5A" w:rsidP="00730C5A">
      <w:pPr>
        <w:rPr>
          <w:b/>
          <w:bCs/>
        </w:rPr>
      </w:pPr>
      <w:r>
        <w:rPr>
          <w:b/>
          <w:bCs/>
        </w:rPr>
        <w:t>Question</w:t>
      </w:r>
      <w:proofErr w:type="gramStart"/>
      <w:r>
        <w:rPr>
          <w:b/>
          <w:bCs/>
        </w:rPr>
        <w:t>:  “</w:t>
      </w:r>
      <w:proofErr w:type="gramEnd"/>
      <w:r>
        <w:rPr>
          <w:b/>
          <w:bCs/>
        </w:rPr>
        <w:t xml:space="preserve">Approximately” what percentage of a RIPCPC practice’s patient panel has e-mail addresses on file?  </w:t>
      </w:r>
    </w:p>
    <w:p w:rsidR="00730C5A" w:rsidRDefault="00730C5A" w:rsidP="00730C5A">
      <w:r>
        <w:rPr>
          <w:b/>
          <w:bCs/>
        </w:rPr>
        <w:t>Answer:</w:t>
      </w:r>
      <w:r>
        <w:t>  That will vary, based on the practice, since it’s up to the practice staff to collect that information.  Some may be better about it than others, so there’s no uniform answer, unfortunately.  But, for the several surveys that we’ve already sent out, each practice has had a sufficient amount of email addresses to send to.  Smaller practices naturally have fewer than larger practices.  So far, of the surveys that we’ve already sent out, 291 was the lowest number of email addresses that a practice had on file (which still isn’t bad for purposes of the survey!), and that was a practice of approximately 850 patients. But again, it will vary by practice.   Many of our practices are located in relatively suburban areas, so they probably have a higher percentage of patients with e-mail addresses on record than do practices that are located in the cities.</w:t>
      </w:r>
    </w:p>
    <w:p w:rsidR="00730C5A" w:rsidRDefault="00730C5A" w:rsidP="00730C5A"/>
    <w:p w:rsidR="00730C5A" w:rsidRDefault="00730C5A" w:rsidP="00730C5A">
      <w:r>
        <w:rPr>
          <w:b/>
          <w:bCs/>
        </w:rPr>
        <w:t>Question:  How does the application provide the surveys in different languages?</w:t>
      </w:r>
    </w:p>
    <w:p w:rsidR="00730C5A" w:rsidRDefault="00730C5A" w:rsidP="00730C5A">
      <w:r>
        <w:rPr>
          <w:b/>
          <w:bCs/>
        </w:rPr>
        <w:t>Answer:     </w:t>
      </w:r>
      <w:r>
        <w:t xml:space="preserve">We created the survey form as a </w:t>
      </w:r>
      <w:r>
        <w:rPr>
          <w:i/>
          <w:iCs/>
        </w:rPr>
        <w:t>Microsoft Word</w:t>
      </w:r>
      <w:r>
        <w:t xml:space="preserve"> document, composed of 10 questions that satisfy NCQA’s required categories of access, communication, coordination, and whole person care / </w:t>
      </w:r>
      <w:proofErr w:type="spellStart"/>
      <w:r>
        <w:t>self management</w:t>
      </w:r>
      <w:proofErr w:type="spellEnd"/>
      <w:r>
        <w:t xml:space="preserve"> support (see attached sample).  The survey itself is not conducted through </w:t>
      </w:r>
      <w:r>
        <w:rPr>
          <w:i/>
          <w:iCs/>
        </w:rPr>
        <w:t>Constant Contact</w:t>
      </w:r>
      <w:r>
        <w:t xml:space="preserve">.  </w:t>
      </w:r>
      <w:r>
        <w:rPr>
          <w:i/>
          <w:iCs/>
        </w:rPr>
        <w:t>Constant Contact</w:t>
      </w:r>
      <w:r>
        <w:t xml:space="preserve"> is simply the application that we use to send the mass email to all patients.  In the </w:t>
      </w:r>
      <w:r>
        <w:rPr>
          <w:i/>
          <w:iCs/>
        </w:rPr>
        <w:t>Constant Contact</w:t>
      </w:r>
      <w:r>
        <w:t xml:space="preserve"> </w:t>
      </w:r>
      <w:proofErr w:type="gramStart"/>
      <w:r>
        <w:t>email</w:t>
      </w:r>
      <w:proofErr w:type="gramEnd"/>
      <w:r>
        <w:t xml:space="preserve"> we include the link to the practice’s survey form, which is actually created through a survey site that our IT department has given our project manager access to (Microsoft Forms, forms.office.com).  Some places use Survey Monkey, so a survey form could be created there as well.  In order to allow patients to access the survey in different </w:t>
      </w:r>
      <w:proofErr w:type="gramStart"/>
      <w:r>
        <w:t>languages,  we</w:t>
      </w:r>
      <w:proofErr w:type="gramEnd"/>
      <w:r>
        <w:t xml:space="preserve"> would have to translate the survey into the required language, add it as an option, and then the patient would select which language to use (at least, that’s how it appears that it would work). We’ve never created one yet with a second language, but it looks like that would be the process.   Since we just started using this virtual survey process for our surveys, we haven’t expanded its use to different languages yet, but we have future plans to do so.</w:t>
      </w:r>
    </w:p>
    <w:p w:rsidR="00730C5A" w:rsidRDefault="00730C5A" w:rsidP="00730C5A">
      <w:pPr>
        <w:rPr>
          <w:b/>
          <w:bCs/>
        </w:rPr>
      </w:pPr>
    </w:p>
    <w:p w:rsidR="00730C5A" w:rsidRDefault="00730C5A" w:rsidP="00730C5A">
      <w:pPr>
        <w:rPr>
          <w:b/>
          <w:bCs/>
        </w:rPr>
      </w:pPr>
      <w:r>
        <w:rPr>
          <w:b/>
          <w:bCs/>
        </w:rPr>
        <w:t xml:space="preserve">Question:  How does the data look within </w:t>
      </w:r>
      <w:r>
        <w:rPr>
          <w:b/>
          <w:bCs/>
          <w:i/>
          <w:iCs/>
        </w:rPr>
        <w:t>Constant Contact</w:t>
      </w:r>
      <w:r>
        <w:rPr>
          <w:b/>
          <w:bCs/>
        </w:rPr>
        <w:t>?</w:t>
      </w:r>
    </w:p>
    <w:p w:rsidR="00730C5A" w:rsidRDefault="00730C5A" w:rsidP="00730C5A">
      <w:r>
        <w:rPr>
          <w:b/>
          <w:bCs/>
        </w:rPr>
        <w:t xml:space="preserve">Answer:  </w:t>
      </w:r>
      <w:r>
        <w:t>Here is a portion of some recent results from one of our practices.</w:t>
      </w:r>
      <w:r>
        <w:rPr>
          <w:b/>
          <w:bCs/>
        </w:rPr>
        <w:t>   </w:t>
      </w:r>
      <w:r>
        <w:t xml:space="preserve">As you can see in Question #1, When you hover over any portion of the bar graph, a pop-up message appears, containing the percentage of responses for that category.  The bar graphs provide a quick visual representation of the responses, so if we were looking for the question with the lowest rate of </w:t>
      </w:r>
      <w:r>
        <w:lastRenderedPageBreak/>
        <w:t>“extremely satisfied” responses, it appears that we would select either question #3 or question #10 as a target for improvement in this example.  (Hovering over the dark orange portions of the graphs for those 2 questions would give you the exact numerical percentage rate of “extremely satisfied” responses.)</w:t>
      </w:r>
    </w:p>
    <w:p w:rsidR="00730C5A" w:rsidRDefault="00730C5A" w:rsidP="00730C5A">
      <w:pPr>
        <w:rPr>
          <w:sz w:val="8"/>
          <w:szCs w:val="8"/>
        </w:rPr>
      </w:pPr>
    </w:p>
    <w:p w:rsidR="00730C5A" w:rsidRDefault="00730C5A" w:rsidP="00730C5A"/>
    <w:p w:rsidR="00730C5A" w:rsidRDefault="00730C5A" w:rsidP="00730C5A"/>
    <w:p w:rsidR="00730C5A" w:rsidRDefault="00730C5A" w:rsidP="00730C5A">
      <w:pPr>
        <w:rPr>
          <w:b/>
          <w:bCs/>
        </w:rPr>
      </w:pPr>
      <w:r>
        <w:rPr>
          <w:noProof/>
        </w:rPr>
        <w:drawing>
          <wp:inline distT="0" distB="0" distL="0" distR="0">
            <wp:extent cx="4921250" cy="6153150"/>
            <wp:effectExtent l="0" t="0" r="0" b="0"/>
            <wp:docPr id="5" name="Picture 5" descr="cid:image006.jpg@01D640C9.A49D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40C9.A49D61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1250" cy="6153150"/>
                    </a:xfrm>
                    <a:prstGeom prst="rect">
                      <a:avLst/>
                    </a:prstGeom>
                    <a:noFill/>
                    <a:ln>
                      <a:noFill/>
                    </a:ln>
                  </pic:spPr>
                </pic:pic>
              </a:graphicData>
            </a:graphic>
          </wp:inline>
        </w:drawing>
      </w:r>
    </w:p>
    <w:p w:rsidR="00730C5A" w:rsidRDefault="00730C5A" w:rsidP="00730C5A">
      <w:pPr>
        <w:rPr>
          <w:i/>
          <w:iCs/>
        </w:rPr>
      </w:pPr>
    </w:p>
    <w:p w:rsidR="00730C5A" w:rsidRDefault="00730C5A" w:rsidP="00730C5A">
      <w:pPr>
        <w:rPr>
          <w:b/>
          <w:bCs/>
        </w:rPr>
      </w:pPr>
    </w:p>
    <w:p w:rsidR="00730C5A" w:rsidRDefault="00730C5A" w:rsidP="00730C5A">
      <w:pPr>
        <w:rPr>
          <w:b/>
          <w:bCs/>
        </w:rPr>
      </w:pPr>
      <w:r>
        <w:rPr>
          <w:b/>
          <w:bCs/>
        </w:rPr>
        <w:t>Question:  How do the exported results appear?</w:t>
      </w:r>
    </w:p>
    <w:p w:rsidR="00730C5A" w:rsidRDefault="00730C5A" w:rsidP="00730C5A">
      <w:pPr>
        <w:rPr>
          <w:i/>
          <w:iCs/>
        </w:rPr>
      </w:pPr>
      <w:r>
        <w:rPr>
          <w:b/>
          <w:bCs/>
        </w:rPr>
        <w:t xml:space="preserve">Answer:  </w:t>
      </w:r>
      <w:r>
        <w:t xml:space="preserve"> I attached an Excel spreadsheet containing the results of the “test” practice that was sent out to the QIS Team to complete when we started this process.  </w:t>
      </w:r>
      <w:r>
        <w:rPr>
          <w:i/>
          <w:iCs/>
        </w:rPr>
        <w:t xml:space="preserve"> However, keep in mind – the results </w:t>
      </w:r>
      <w:r>
        <w:rPr>
          <w:i/>
          <w:iCs/>
        </w:rPr>
        <w:lastRenderedPageBreak/>
        <w:t xml:space="preserve">are exported from the survey site we use and have nothing to do with Constant Contact.  If CTC wants to use Microsoft Forms, then this is how the exported results will look.  </w:t>
      </w:r>
    </w:p>
    <w:p w:rsidR="00730C5A" w:rsidRDefault="00730C5A" w:rsidP="00730C5A">
      <w:pPr>
        <w:rPr>
          <w:i/>
          <w:iCs/>
        </w:rPr>
      </w:pPr>
    </w:p>
    <w:p w:rsidR="00730C5A" w:rsidRDefault="00730C5A" w:rsidP="00730C5A">
      <w:pPr>
        <w:rPr>
          <w:b/>
          <w:bCs/>
        </w:rPr>
      </w:pPr>
      <w:r>
        <w:rPr>
          <w:b/>
          <w:bCs/>
        </w:rPr>
        <w:t>Question:  How much does it cost to use?</w:t>
      </w:r>
    </w:p>
    <w:p w:rsidR="00730C5A" w:rsidRDefault="00730C5A" w:rsidP="00730C5A">
      <w:r>
        <w:rPr>
          <w:b/>
          <w:bCs/>
        </w:rPr>
        <w:t xml:space="preserve">Answer:  </w:t>
      </w:r>
      <w:r>
        <w:t xml:space="preserve">That depends on how many “contacts” you have in </w:t>
      </w:r>
      <w:r>
        <w:rPr>
          <w:i/>
          <w:iCs/>
        </w:rPr>
        <w:t>Constant Contact</w:t>
      </w:r>
      <w:r>
        <w:t xml:space="preserve">.  So every time we add an excel file with email addresses, it adds more contacts, however, it can be deleted once those contacts are not needed anymore.  Below is a screenshot of the pricing plan, and as you can </w:t>
      </w:r>
      <w:proofErr w:type="gramStart"/>
      <w:r>
        <w:t>see,  5,001</w:t>
      </w:r>
      <w:proofErr w:type="gramEnd"/>
      <w:r>
        <w:t xml:space="preserve"> – 10,000 contacts are currently selected.  </w:t>
      </w:r>
      <w:proofErr w:type="gramStart"/>
      <w:r>
        <w:t>If  you</w:t>
      </w:r>
      <w:proofErr w:type="gramEnd"/>
      <w:r>
        <w:t xml:space="preserve"> have more or less,  then the price goes up or down.</w:t>
      </w:r>
    </w:p>
    <w:p w:rsidR="00730C5A" w:rsidRDefault="00730C5A" w:rsidP="00730C5A"/>
    <w:p w:rsidR="00730C5A" w:rsidRDefault="00730C5A" w:rsidP="00730C5A">
      <w:pPr>
        <w:rPr>
          <w:b/>
          <w:bCs/>
        </w:rPr>
      </w:pPr>
      <w:r>
        <w:rPr>
          <w:noProof/>
        </w:rPr>
        <w:drawing>
          <wp:inline distT="0" distB="0" distL="0" distR="0">
            <wp:extent cx="5099050" cy="996950"/>
            <wp:effectExtent l="0" t="0" r="6350" b="0"/>
            <wp:docPr id="4" name="Picture 4" descr="cid:image005.jpg@01D640C5.D3D86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40C5.D3D86E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99050" cy="996950"/>
                    </a:xfrm>
                    <a:prstGeom prst="rect">
                      <a:avLst/>
                    </a:prstGeom>
                    <a:noFill/>
                    <a:ln>
                      <a:noFill/>
                    </a:ln>
                  </pic:spPr>
                </pic:pic>
              </a:graphicData>
            </a:graphic>
          </wp:inline>
        </w:drawing>
      </w:r>
    </w:p>
    <w:p w:rsidR="00730C5A" w:rsidRDefault="00730C5A" w:rsidP="00730C5A"/>
    <w:p w:rsidR="00730C5A" w:rsidRDefault="00730C5A" w:rsidP="00730C5A">
      <w:pPr>
        <w:ind w:left="0"/>
      </w:pPr>
      <w:r>
        <w:t>I hope this information is helpful.  Have a nice weekend!</w:t>
      </w:r>
    </w:p>
    <w:p w:rsidR="00730C5A" w:rsidRDefault="00730C5A" w:rsidP="00730C5A">
      <w:pPr>
        <w:ind w:left="0"/>
      </w:pPr>
    </w:p>
    <w:p w:rsidR="00730C5A" w:rsidRDefault="00730C5A" w:rsidP="00730C5A">
      <w:pPr>
        <w:ind w:left="0"/>
      </w:pPr>
      <w:r>
        <w:t>-Bernadette</w:t>
      </w:r>
    </w:p>
    <w:p w:rsidR="00730C5A" w:rsidRDefault="00730C5A" w:rsidP="00730C5A"/>
    <w:tbl>
      <w:tblPr>
        <w:tblW w:w="5000" w:type="pct"/>
        <w:tblCellSpacing w:w="0" w:type="dxa"/>
        <w:tblCellMar>
          <w:left w:w="0" w:type="dxa"/>
          <w:right w:w="0" w:type="dxa"/>
        </w:tblCellMar>
        <w:tblLook w:val="04A0" w:firstRow="1" w:lastRow="0" w:firstColumn="1" w:lastColumn="0" w:noHBand="0" w:noVBand="1"/>
      </w:tblPr>
      <w:tblGrid>
        <w:gridCol w:w="9360"/>
      </w:tblGrid>
      <w:tr w:rsidR="00730C5A" w:rsidT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18"/>
              <w:gridCol w:w="2070"/>
            </w:tblGrid>
            <w:tr w:rsidR="00730C5A">
              <w:trPr>
                <w:tblCellSpacing w:w="0" w:type="dxa"/>
              </w:trPr>
              <w:tc>
                <w:tcPr>
                  <w:tcW w:w="0" w:type="auto"/>
                  <w:tcBorders>
                    <w:top w:val="nil"/>
                    <w:left w:val="nil"/>
                    <w:bottom w:val="nil"/>
                    <w:right w:val="single" w:sz="18" w:space="0" w:color="A92B1D"/>
                  </w:tcBorders>
                  <w:hideMark/>
                </w:tcPr>
                <w:tbl>
                  <w:tblPr>
                    <w:tblW w:w="0" w:type="auto"/>
                    <w:tblCellSpacing w:w="0" w:type="dxa"/>
                    <w:tblCellMar>
                      <w:left w:w="0" w:type="dxa"/>
                      <w:right w:w="0" w:type="dxa"/>
                    </w:tblCellMar>
                    <w:tblLook w:val="04A0" w:firstRow="1" w:lastRow="0" w:firstColumn="1" w:lastColumn="0" w:noHBand="0" w:noVBand="1"/>
                  </w:tblPr>
                  <w:tblGrid>
                    <w:gridCol w:w="2973"/>
                  </w:tblGrid>
                  <w:tr w:rsidR="00730C5A">
                    <w:trPr>
                      <w:tblCellSpacing w:w="0" w:type="dxa"/>
                    </w:trPr>
                    <w:tc>
                      <w:tcPr>
                        <w:tcW w:w="0" w:type="auto"/>
                        <w:tcMar>
                          <w:top w:w="0" w:type="dxa"/>
                          <w:left w:w="0" w:type="dxa"/>
                          <w:bottom w:w="0" w:type="dxa"/>
                          <w:right w:w="150" w:type="dxa"/>
                        </w:tcMar>
                        <w:hideMark/>
                      </w:tcPr>
                      <w:tbl>
                        <w:tblPr>
                          <w:tblW w:w="0" w:type="auto"/>
                          <w:tblCellSpacing w:w="0" w:type="dxa"/>
                          <w:tblCellMar>
                            <w:left w:w="0" w:type="dxa"/>
                            <w:right w:w="0" w:type="dxa"/>
                          </w:tblCellMar>
                          <w:tblLook w:val="04A0" w:firstRow="1" w:lastRow="0" w:firstColumn="1" w:lastColumn="0" w:noHBand="0" w:noVBand="1"/>
                        </w:tblPr>
                        <w:tblGrid>
                          <w:gridCol w:w="2823"/>
                        </w:tblGrid>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23"/>
                              </w:tblGrid>
                              <w:tr w:rsidR="00730C5A">
                                <w:trPr>
                                  <w:tblCellSpacing w:w="0" w:type="dxa"/>
                                </w:trPr>
                                <w:tc>
                                  <w:tcPr>
                                    <w:tcW w:w="0" w:type="auto"/>
                                    <w:hideMark/>
                                  </w:tcPr>
                                  <w:p w:rsidR="00730C5A" w:rsidRDefault="00730C5A">
                                    <w:pPr>
                                      <w:ind w:left="0"/>
                                      <w:rPr>
                                        <w:b/>
                                        <w:bCs/>
                                        <w:color w:val="A92B1D"/>
                                      </w:rPr>
                                    </w:pPr>
                                    <w:r>
                                      <w:rPr>
                                        <w:b/>
                                        <w:bCs/>
                                        <w:color w:val="A92B1D"/>
                                      </w:rPr>
                                      <w:t>Bernadette Parrillo</w:t>
                                    </w:r>
                                    <w:r>
                                      <w:rPr>
                                        <w:rFonts w:ascii="remialcxesans" w:hAnsi="remialcxesans"/>
                                        <w:b/>
                                        <w:bCs/>
                                        <w:color w:val="FFFFFF"/>
                                        <w:sz w:val="2"/>
                                        <w:szCs w:val="2"/>
                                      </w:rPr>
                                      <w:t>​</w:t>
                                    </w:r>
                                  </w:p>
                                </w:tc>
                              </w:tr>
                              <w:tr w:rsidR="00730C5A">
                                <w:trPr>
                                  <w:tblCellSpacing w:w="0" w:type="dxa"/>
                                </w:trPr>
                                <w:tc>
                                  <w:tcPr>
                                    <w:tcW w:w="0" w:type="auto"/>
                                    <w:hideMark/>
                                  </w:tcPr>
                                  <w:p w:rsidR="00730C5A" w:rsidRDefault="00730C5A">
                                    <w:pPr>
                                      <w:ind w:left="0"/>
                                      <w:rPr>
                                        <w:color w:val="000001"/>
                                      </w:rPr>
                                    </w:pPr>
                                    <w:r>
                                      <w:rPr>
                                        <w:color w:val="000001"/>
                                      </w:rPr>
                                      <w:t>Quality Improvement Specialist</w:t>
                                    </w:r>
                                  </w:p>
                                </w:tc>
                              </w:tr>
                              <w:tr w:rsidR="00730C5A">
                                <w:trPr>
                                  <w:tblCellSpacing w:w="0" w:type="dxa"/>
                                </w:trPr>
                                <w:tc>
                                  <w:tcPr>
                                    <w:tcW w:w="0" w:type="auto"/>
                                    <w:hideMark/>
                                  </w:tcPr>
                                  <w:p w:rsidR="00730C5A" w:rsidRDefault="00730C5A">
                                    <w:pPr>
                                      <w:ind w:left="0"/>
                                      <w:rPr>
                                        <w:color w:val="000001"/>
                                      </w:rPr>
                                    </w:pPr>
                                    <w:r>
                                      <w:rPr>
                                        <w:color w:val="000001"/>
                                      </w:rPr>
                                      <w:t>RI Primary Care Physicians Corp</w:t>
                                    </w:r>
                                  </w:p>
                                </w:tc>
                              </w:tr>
                            </w:tbl>
                            <w:p w:rsidR="00730C5A" w:rsidRDefault="00730C5A">
                              <w:pPr>
                                <w:ind w:left="0"/>
                                <w:rPr>
                                  <w:rFonts w:ascii="Times New Roman" w:eastAsia="Times New Roman" w:hAnsi="Times New Roman" w:cs="Times New Roman"/>
                                  <w:sz w:val="20"/>
                                  <w:szCs w:val="20"/>
                                </w:rPr>
                              </w:pPr>
                            </w:p>
                          </w:tc>
                        </w:tr>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87"/>
                                <w:gridCol w:w="6"/>
                              </w:tblGrid>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87"/>
                                    </w:tblGrid>
                                    <w:tr w:rsidR="00730C5A">
                                      <w:trPr>
                                        <w:tblCellSpacing w:w="0" w:type="dxa"/>
                                      </w:trPr>
                                      <w:tc>
                                        <w:tcPr>
                                          <w:tcW w:w="0" w:type="auto"/>
                                          <w:hideMark/>
                                        </w:tcPr>
                                        <w:p w:rsidR="00730C5A" w:rsidRDefault="00730C5A">
                                          <w:pPr>
                                            <w:ind w:left="0"/>
                                            <w:rPr>
                                              <w:color w:val="000001"/>
                                            </w:rPr>
                                          </w:pPr>
                                          <w:r>
                                            <w:rPr>
                                              <w:color w:val="A92B1D"/>
                                            </w:rPr>
                                            <w:t>Office:</w:t>
                                          </w:r>
                                          <w:r>
                                            <w:rPr>
                                              <w:color w:val="000001"/>
                                            </w:rPr>
                                            <w:t> (401) 654</w:t>
                                          </w:r>
                                          <w:r>
                                            <w:rPr>
                                              <w:color w:val="000001"/>
                                            </w:rPr>
                                            <w:noBreakHyphen/>
                                            <w:t>4000 x119</w:t>
                                          </w:r>
                                        </w:p>
                                      </w:tc>
                                    </w:tr>
                                    <w:tr w:rsidR="00730C5A">
                                      <w:trPr>
                                        <w:tblCellSpacing w:w="0" w:type="dxa"/>
                                      </w:trPr>
                                      <w:tc>
                                        <w:tcPr>
                                          <w:tcW w:w="0" w:type="auto"/>
                                          <w:hideMark/>
                                        </w:tcPr>
                                        <w:p w:rsidR="00730C5A" w:rsidRDefault="00730C5A">
                                          <w:pPr>
                                            <w:ind w:left="0"/>
                                            <w:rPr>
                                              <w:color w:val="000001"/>
                                            </w:rPr>
                                          </w:pPr>
                                          <w:r>
                                            <w:rPr>
                                              <w:color w:val="A92B1D"/>
                                            </w:rPr>
                                            <w:t>Fax:</w:t>
                                          </w:r>
                                          <w:r>
                                            <w:rPr>
                                              <w:color w:val="000001"/>
                                            </w:rPr>
                                            <w:t> (401) 654</w:t>
                                          </w:r>
                                          <w:r>
                                            <w:rPr>
                                              <w:color w:val="000001"/>
                                            </w:rPr>
                                            <w:noBreakHyphen/>
                                            <w:t>4001</w:t>
                                          </w:r>
                                        </w:p>
                                      </w:tc>
                                    </w:tr>
                                  </w:tbl>
                                  <w:p w:rsidR="00730C5A" w:rsidRDefault="00730C5A">
                                    <w:pPr>
                                      <w:ind w:left="0"/>
                                      <w:rPr>
                                        <w:rFonts w:ascii="Times New Roman" w:eastAsia="Times New Roman" w:hAnsi="Times New Roman" w:cs="Times New Roman"/>
                                        <w:sz w:val="20"/>
                                        <w:szCs w:val="20"/>
                                      </w:rPr>
                                    </w:pPr>
                                  </w:p>
                                </w:tc>
                                <w:tc>
                                  <w:tcPr>
                                    <w:tcW w:w="0" w:type="auto"/>
                                    <w:vAlign w:val="center"/>
                                    <w:hideMark/>
                                  </w:tcPr>
                                  <w:p w:rsidR="00730C5A" w:rsidRDefault="00730C5A">
                                    <w:pPr>
                                      <w:ind w:left="0"/>
                                      <w:rPr>
                                        <w:sz w:val="2"/>
                                        <w:szCs w:val="2"/>
                                      </w:rPr>
                                    </w:pPr>
                                    <w:r>
                                      <w:rPr>
                                        <w:sz w:val="2"/>
                                        <w:szCs w:val="2"/>
                                      </w:rPr>
                                      <w:t> </w:t>
                                    </w:r>
                                  </w:p>
                                </w:tc>
                              </w:tr>
                              <w:tr w:rsidR="00730C5A">
                                <w:trPr>
                                  <w:tblCellSpacing w:w="0" w:type="dxa"/>
                                </w:trPr>
                                <w:tc>
                                  <w:tcPr>
                                    <w:tcW w:w="0" w:type="auto"/>
                                    <w:vAlign w:val="center"/>
                                    <w:hideMark/>
                                  </w:tcPr>
                                  <w:p w:rsidR="00730C5A" w:rsidRDefault="00730C5A">
                                    <w:pPr>
                                      <w:ind w:left="0"/>
                                      <w:rPr>
                                        <w:sz w:val="2"/>
                                        <w:szCs w:val="2"/>
                                      </w:rPr>
                                    </w:pPr>
                                    <w:r>
                                      <w:rPr>
                                        <w:sz w:val="2"/>
                                        <w:szCs w:val="2"/>
                                      </w:rPr>
                                      <w:t> </w:t>
                                    </w:r>
                                  </w:p>
                                </w:tc>
                                <w:tc>
                                  <w:tcPr>
                                    <w:tcW w:w="0" w:type="auto"/>
                                    <w:vAlign w:val="center"/>
                                    <w:hideMark/>
                                  </w:tcPr>
                                  <w:p w:rsidR="00730C5A" w:rsidRDefault="00730C5A">
                                    <w:pPr>
                                      <w:ind w:left="0"/>
                                      <w:rPr>
                                        <w:sz w:val="2"/>
                                        <w:szCs w:val="2"/>
                                      </w:rPr>
                                    </w:pPr>
                                    <w:r>
                                      <w:rPr>
                                        <w:sz w:val="2"/>
                                        <w:szCs w:val="2"/>
                                      </w:rPr>
                                      <w:t> </w:t>
                                    </w: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70"/>
                  </w:tblGrid>
                  <w:tr w:rsidR="00730C5A">
                    <w:trPr>
                      <w:tblCellSpacing w:w="0" w:type="dxa"/>
                    </w:trPr>
                    <w:tc>
                      <w:tcPr>
                        <w:tcW w:w="0" w:type="auto"/>
                        <w:tcMar>
                          <w:top w:w="0" w:type="dxa"/>
                          <w:left w:w="15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20"/>
                              </w:tblGrid>
                              <w:tr w:rsidR="00730C5A">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920"/>
                                    </w:tblGrid>
                                    <w:tr w:rsidR="00730C5A">
                                      <w:trPr>
                                        <w:tblCellSpacing w:w="0" w:type="dxa"/>
                                        <w:jc w:val="center"/>
                                      </w:trPr>
                                      <w:tc>
                                        <w:tcPr>
                                          <w:tcW w:w="0" w:type="auto"/>
                                          <w:tcMar>
                                            <w:top w:w="105" w:type="dxa"/>
                                            <w:left w:w="0" w:type="dxa"/>
                                            <w:bottom w:w="0" w:type="dxa"/>
                                            <w:right w:w="0" w:type="dxa"/>
                                          </w:tcMar>
                                          <w:vAlign w:val="center"/>
                                          <w:hideMark/>
                                        </w:tcPr>
                                        <w:p w:rsidR="00730C5A" w:rsidRDefault="00730C5A">
                                          <w:pPr>
                                            <w:ind w:left="0"/>
                                            <w:jc w:val="center"/>
                                            <w:rPr>
                                              <w:sz w:val="2"/>
                                              <w:szCs w:val="2"/>
                                            </w:rPr>
                                          </w:pPr>
                                          <w:r>
                                            <w:rPr>
                                              <w:noProof/>
                                              <w:color w:val="0000FF"/>
                                              <w:sz w:val="2"/>
                                              <w:szCs w:val="2"/>
                                            </w:rPr>
                                            <w:drawing>
                                              <wp:inline distT="0" distB="0" distL="0" distR="0">
                                                <wp:extent cx="1212850" cy="381000"/>
                                                <wp:effectExtent l="0" t="0" r="6350" b="0"/>
                                                <wp:docPr id="3" name="Picture 3" descr="RI Primary Ca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 Primary Ca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12850" cy="381000"/>
                                                        </a:xfrm>
                                                        <a:prstGeom prst="rect">
                                                          <a:avLst/>
                                                        </a:prstGeom>
                                                        <a:noFill/>
                                                        <a:ln>
                                                          <a:noFill/>
                                                        </a:ln>
                                                      </pic:spPr>
                                                    </pic:pic>
                                                  </a:graphicData>
                                                </a:graphic>
                                              </wp:inline>
                                            </w:drawing>
                                          </w:r>
                                        </w:p>
                                      </w:tc>
                                    </w:tr>
                                  </w:tbl>
                                  <w:p w:rsidR="00730C5A" w:rsidRDefault="00730C5A">
                                    <w:pPr>
                                      <w:ind w:left="0"/>
                                      <w:jc w:val="center"/>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00"/>
                              </w:tblGrid>
                              <w:tr w:rsidR="00730C5A">
                                <w:trPr>
                                  <w:tblCellSpacing w:w="0" w:type="dxa"/>
                                </w:trPr>
                                <w:tc>
                                  <w:tcPr>
                                    <w:tcW w:w="0" w:type="auto"/>
                                    <w:tcMar>
                                      <w:top w:w="0" w:type="dxa"/>
                                      <w:left w:w="15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730C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50"/>
                                          </w:tblGrid>
                                          <w:tr w:rsidR="00730C5A">
                                            <w:trPr>
                                              <w:tblCellSpacing w:w="0" w:type="dxa"/>
                                            </w:trPr>
                                            <w:tc>
                                              <w:tcPr>
                                                <w:tcW w:w="0" w:type="auto"/>
                                                <w:tcMar>
                                                  <w:top w:w="12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750"/>
                                                  <w:gridCol w:w="1000"/>
                                                </w:tblGrid>
                                                <w:tr w:rsidR="00730C5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50"/>
                                                      </w:tblGrid>
                                                      <w:tr w:rsidR="00730C5A">
                                                        <w:trPr>
                                                          <w:tblCellSpacing w:w="0" w:type="dxa"/>
                                                        </w:trPr>
                                                        <w:tc>
                                                          <w:tcPr>
                                                            <w:tcW w:w="0" w:type="auto"/>
                                                            <w:hideMark/>
                                                          </w:tcPr>
                                                          <w:p w:rsidR="00730C5A" w:rsidRDefault="00730C5A">
                                                            <w:pPr>
                                                              <w:ind w:left="0"/>
                                                              <w:rPr>
                                                                <w:sz w:val="2"/>
                                                                <w:szCs w:val="2"/>
                                                              </w:rPr>
                                                            </w:pPr>
                                                            <w:r>
                                                              <w:rPr>
                                                                <w:noProof/>
                                                                <w:sz w:val="2"/>
                                                                <w:szCs w:val="2"/>
                                                              </w:rPr>
                                                              <w:drawing>
                                                                <wp:inline distT="0" distB="0" distL="0" distR="0">
                                                                  <wp:extent cx="469900" cy="165100"/>
                                                                  <wp:effectExtent l="0" t="0" r="6350" b="6350"/>
                                                                  <wp:docPr id="2" name="Picture 2" descr="cid:image002.png@01D63FE8.DB56C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63FE8.DB56CD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p>
                                                        </w:tc>
                                                      </w:tr>
                                                    </w:tbl>
                                                    <w:p w:rsidR="00730C5A" w:rsidRDefault="00730C5A">
                                                      <w:pPr>
                                                        <w:ind w:left="0"/>
                                                        <w:rPr>
                                                          <w:rFonts w:ascii="Times New Roman" w:eastAsia="Times New Roman" w:hAnsi="Times New Roman" w:cs="Times New Roman"/>
                                                          <w:sz w:val="20"/>
                                                          <w:szCs w:val="20"/>
                                                        </w:rPr>
                                                      </w:pPr>
                                                    </w:p>
                                                  </w:tc>
                                                  <w:tc>
                                                    <w:tcPr>
                                                      <w:tcW w:w="0" w:type="auto"/>
                                                      <w:hideMark/>
                                                    </w:tcPr>
                                                    <w:p w:rsidR="00730C5A" w:rsidRDefault="00730C5A">
                                                      <w:pPr>
                                                        <w:ind w:left="0"/>
                                                        <w:rPr>
                                                          <w:sz w:val="2"/>
                                                          <w:szCs w:val="2"/>
                                                        </w:rPr>
                                                      </w:pPr>
                                                      <w:r>
                                                        <w:rPr>
                                                          <w:noProof/>
                                                          <w:color w:val="0000FF"/>
                                                          <w:sz w:val="2"/>
                                                          <w:szCs w:val="2"/>
                                                        </w:rPr>
                                                        <w:drawing>
                                                          <wp:inline distT="0" distB="0" distL="0" distR="0">
                                                            <wp:extent cx="635000" cy="165100"/>
                                                            <wp:effectExtent l="0" t="0" r="0" b="6350"/>
                                                            <wp:docPr id="1" name="Picture 1" descr="Integra">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gr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5000" cy="165100"/>
                                                                    </a:xfrm>
                                                                    <a:prstGeom prst="rect">
                                                                      <a:avLst/>
                                                                    </a:prstGeom>
                                                                    <a:noFill/>
                                                                    <a:ln>
                                                                      <a:noFill/>
                                                                    </a:ln>
                                                                  </pic:spPr>
                                                                </pic:pic>
                                                              </a:graphicData>
                                                            </a:graphic>
                                                          </wp:inline>
                                                        </w:drawing>
                                                      </w: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30C5A" w:rsidRDefault="00730C5A">
            <w:pPr>
              <w:ind w:left="0"/>
              <w:rPr>
                <w:rFonts w:ascii="Times New Roman" w:eastAsia="Times New Roman" w:hAnsi="Times New Roman" w:cs="Times New Roman"/>
                <w:sz w:val="20"/>
                <w:szCs w:val="20"/>
              </w:rPr>
            </w:pPr>
          </w:p>
        </w:tc>
      </w:tr>
    </w:tbl>
    <w:p w:rsidR="007553F9" w:rsidRDefault="007553F9"/>
    <w:sectPr w:rsidR="0075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mialcxe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5A"/>
    <w:rsid w:val="00730C5A"/>
    <w:rsid w:val="007553F9"/>
    <w:rsid w:val="00D6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A1C690-9F2A-4CEF-9C8A-2C10B798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5A"/>
    <w:pPr>
      <w:spacing w:after="0" w:line="240" w:lineRule="auto"/>
      <w:ind w:left="144"/>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cpc.com/" TargetMode="External"/><Relationship Id="rId13" Type="http://schemas.openxmlformats.org/officeDocument/2006/relationships/hyperlink" Target="http://www.integracare.org/" TargetMode="External"/><Relationship Id="rId3" Type="http://schemas.openxmlformats.org/officeDocument/2006/relationships/webSettings" Target="webSettings.xml"/><Relationship Id="rId7" Type="http://schemas.openxmlformats.org/officeDocument/2006/relationships/image" Target="cid:image005.jpg@01D640C5.D3D86EC0" TargetMode="External"/><Relationship Id="rId12" Type="http://schemas.openxmlformats.org/officeDocument/2006/relationships/image" Target="cid:image002.png@01D63FE8.DB56CDF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cid:image006.jpg@01D640C9.A49D6170" TargetMode="External"/><Relationship Id="rId15" Type="http://schemas.openxmlformats.org/officeDocument/2006/relationships/image" Target="cid:image003.png@01D63FE4.AE993D60" TargetMode="External"/><Relationship Id="rId10" Type="http://schemas.openxmlformats.org/officeDocument/2006/relationships/image" Target="cid:image001.png@01D63FE8.DB56CDF0"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2020-06-23T17:19:00Z</dcterms:created>
  <dcterms:modified xsi:type="dcterms:W3CDTF">2020-06-23T17:19:00Z</dcterms:modified>
</cp:coreProperties>
</file>