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ED6" w:rsidRPr="009E0ED6" w:rsidRDefault="009E0ED6" w:rsidP="009E0ED6">
      <w:pPr>
        <w:spacing w:after="300" w:line="240" w:lineRule="auto"/>
        <w:jc w:val="center"/>
        <w:outlineLvl w:val="0"/>
        <w:rPr>
          <w:rFonts w:ascii="Arial" w:eastAsia="Times New Roman" w:hAnsi="Arial" w:cs="Arial"/>
          <w:b/>
          <w:bCs/>
          <w:color w:val="00529B"/>
          <w:kern w:val="36"/>
          <w:sz w:val="33"/>
          <w:szCs w:val="33"/>
        </w:rPr>
      </w:pPr>
      <w:r w:rsidRPr="009E0ED6">
        <w:rPr>
          <w:rFonts w:ascii="Arial" w:eastAsia="Times New Roman" w:hAnsi="Arial" w:cs="Arial"/>
          <w:b/>
          <w:bCs/>
          <w:color w:val="00529B"/>
          <w:kern w:val="36"/>
          <w:sz w:val="33"/>
          <w:szCs w:val="33"/>
        </w:rPr>
        <w:t>Weitzman ECHO Complex Integrated Pediatrics Registration</w:t>
      </w:r>
    </w:p>
    <w:p w:rsidR="009E0ED6" w:rsidRPr="009E0ED6" w:rsidRDefault="009E0ED6" w:rsidP="009E0ED6">
      <w:pPr>
        <w:spacing w:after="300" w:line="300" w:lineRule="atLeast"/>
        <w:jc w:val="center"/>
        <w:rPr>
          <w:rFonts w:ascii="Arial" w:eastAsia="Times New Roman" w:hAnsi="Arial" w:cs="Arial"/>
          <w:color w:val="363636"/>
          <w:sz w:val="21"/>
          <w:szCs w:val="21"/>
        </w:rPr>
      </w:pPr>
      <w:r w:rsidRPr="009E0ED6">
        <w:rPr>
          <w:rFonts w:ascii="Arial" w:eastAsia="Times New Roman" w:hAnsi="Arial" w:cs="Arial"/>
          <w:noProof/>
          <w:color w:val="363636"/>
          <w:sz w:val="21"/>
          <w:szCs w:val="21"/>
        </w:rPr>
        <w:drawing>
          <wp:inline distT="0" distB="0" distL="0" distR="0" wp14:anchorId="0CD88261" wp14:editId="7CAF2ACF">
            <wp:extent cx="1905000" cy="2355850"/>
            <wp:effectExtent l="0" t="0" r="0" b="6350"/>
            <wp:docPr id="1" name="Picture 1" descr="https://www.weitzmaninstitute.org/sites/default/files/CIP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weitzmaninstitute.org/sites/default/files/CIP_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0" cy="2355850"/>
                    </a:xfrm>
                    <a:prstGeom prst="rect">
                      <a:avLst/>
                    </a:prstGeom>
                    <a:noFill/>
                    <a:ln>
                      <a:noFill/>
                    </a:ln>
                  </pic:spPr>
                </pic:pic>
              </a:graphicData>
            </a:graphic>
          </wp:inline>
        </w:drawing>
      </w:r>
    </w:p>
    <w:p w:rsidR="009E0ED6" w:rsidRPr="009E0ED6" w:rsidRDefault="009E0ED6" w:rsidP="009E0ED6">
      <w:pPr>
        <w:spacing w:after="300" w:line="300" w:lineRule="atLeast"/>
        <w:rPr>
          <w:rFonts w:ascii="Arial" w:eastAsia="Times New Roman" w:hAnsi="Arial" w:cs="Arial"/>
          <w:color w:val="363636"/>
          <w:sz w:val="21"/>
          <w:szCs w:val="21"/>
        </w:rPr>
      </w:pPr>
      <w:r w:rsidRPr="009E0ED6">
        <w:rPr>
          <w:rFonts w:ascii="Arial" w:eastAsia="Times New Roman" w:hAnsi="Arial" w:cs="Arial"/>
          <w:color w:val="363636"/>
          <w:sz w:val="21"/>
          <w:szCs w:val="21"/>
        </w:rPr>
        <w:t>All medical and behavioral health providers seeing pediatric and/or adolescent patients in a primary care setting (including school based health centers) are welcome. To learn more about this program, please </w:t>
      </w:r>
      <w:hyperlink r:id="rId5" w:history="1">
        <w:r w:rsidRPr="009E0ED6">
          <w:rPr>
            <w:rFonts w:ascii="Arial" w:eastAsia="Times New Roman" w:hAnsi="Arial" w:cs="Arial"/>
            <w:color w:val="337AB7"/>
            <w:sz w:val="21"/>
            <w:szCs w:val="21"/>
            <w:u w:val="single"/>
          </w:rPr>
          <w:t>click here</w:t>
        </w:r>
      </w:hyperlink>
      <w:r w:rsidRPr="009E0ED6">
        <w:rPr>
          <w:rFonts w:ascii="Arial" w:eastAsia="Times New Roman" w:hAnsi="Arial" w:cs="Arial"/>
          <w:color w:val="363636"/>
          <w:sz w:val="21"/>
          <w:szCs w:val="21"/>
        </w:rPr>
        <w:t>. If you are ready to sign up, please fill out the form below to register.</w:t>
      </w:r>
    </w:p>
    <w:p w:rsidR="009E0ED6" w:rsidRPr="009E0ED6" w:rsidRDefault="009E0ED6" w:rsidP="009E0ED6">
      <w:pPr>
        <w:spacing w:after="300" w:line="300" w:lineRule="atLeast"/>
        <w:rPr>
          <w:rFonts w:ascii="Arial" w:eastAsia="Times New Roman" w:hAnsi="Arial" w:cs="Arial"/>
          <w:color w:val="363636"/>
          <w:sz w:val="21"/>
          <w:szCs w:val="21"/>
        </w:rPr>
      </w:pPr>
      <w:r w:rsidRPr="009E0ED6">
        <w:rPr>
          <w:rFonts w:ascii="Arial" w:eastAsia="Times New Roman" w:hAnsi="Arial" w:cs="Arial"/>
          <w:color w:val="363636"/>
          <w:sz w:val="21"/>
          <w:szCs w:val="21"/>
        </w:rPr>
        <w:t>Sessions will be held on the </w:t>
      </w:r>
      <w:r w:rsidRPr="009E0ED6">
        <w:rPr>
          <w:rFonts w:ascii="Arial" w:eastAsia="Times New Roman" w:hAnsi="Arial" w:cs="Arial"/>
          <w:b/>
          <w:bCs/>
          <w:color w:val="363636"/>
          <w:sz w:val="21"/>
          <w:szCs w:val="21"/>
        </w:rPr>
        <w:t>2nd and 4th Wednesdays </w:t>
      </w:r>
      <w:r w:rsidRPr="009E0ED6">
        <w:rPr>
          <w:rFonts w:ascii="Arial" w:eastAsia="Times New Roman" w:hAnsi="Arial" w:cs="Arial"/>
          <w:color w:val="363636"/>
          <w:sz w:val="21"/>
          <w:szCs w:val="21"/>
        </w:rPr>
        <w:t>of each month from </w:t>
      </w:r>
      <w:r w:rsidRPr="009E0ED6">
        <w:rPr>
          <w:rFonts w:ascii="Arial" w:eastAsia="Times New Roman" w:hAnsi="Arial" w:cs="Arial"/>
          <w:b/>
          <w:bCs/>
          <w:color w:val="363636"/>
          <w:sz w:val="21"/>
          <w:szCs w:val="21"/>
        </w:rPr>
        <w:t>12:00PM to 1:00PM ET </w:t>
      </w:r>
      <w:r w:rsidRPr="009E0ED6">
        <w:rPr>
          <w:rFonts w:ascii="Arial" w:eastAsia="Times New Roman" w:hAnsi="Arial" w:cs="Arial"/>
          <w:color w:val="363636"/>
          <w:sz w:val="21"/>
          <w:szCs w:val="21"/>
        </w:rPr>
        <w:t>after a special </w:t>
      </w:r>
      <w:r w:rsidRPr="009E0ED6">
        <w:rPr>
          <w:rFonts w:ascii="Arial" w:eastAsia="Times New Roman" w:hAnsi="Arial" w:cs="Arial"/>
          <w:b/>
          <w:bCs/>
          <w:color w:val="363636"/>
          <w:sz w:val="21"/>
          <w:szCs w:val="21"/>
        </w:rPr>
        <w:t>kickoff session on Tuesday, September 15th</w:t>
      </w:r>
      <w:r w:rsidRPr="009E0ED6">
        <w:rPr>
          <w:rFonts w:ascii="Arial" w:eastAsia="Times New Roman" w:hAnsi="Arial" w:cs="Arial"/>
          <w:color w:val="363636"/>
          <w:sz w:val="21"/>
          <w:szCs w:val="21"/>
        </w:rPr>
        <w:t> at the same time. </w:t>
      </w:r>
    </w:p>
    <w:p w:rsidR="009E0ED6" w:rsidRPr="009E0ED6" w:rsidRDefault="009E0ED6" w:rsidP="009E0ED6">
      <w:pPr>
        <w:spacing w:after="300" w:line="300" w:lineRule="atLeast"/>
        <w:rPr>
          <w:rFonts w:ascii="Arial" w:eastAsia="Times New Roman" w:hAnsi="Arial" w:cs="Arial"/>
          <w:color w:val="363636"/>
          <w:sz w:val="21"/>
          <w:szCs w:val="21"/>
        </w:rPr>
      </w:pPr>
      <w:r w:rsidRPr="009E0ED6">
        <w:rPr>
          <w:rFonts w:ascii="Arial" w:eastAsia="Times New Roman" w:hAnsi="Arial" w:cs="Arial"/>
          <w:color w:val="363636"/>
          <w:sz w:val="21"/>
          <w:szCs w:val="21"/>
        </w:rPr>
        <w:t xml:space="preserve">Participants who register are asked to join as many sessions as possible over the one year curriculum and be willing to present at least one case for </w:t>
      </w:r>
      <w:proofErr w:type="gramStart"/>
      <w:r w:rsidRPr="009E0ED6">
        <w:rPr>
          <w:rFonts w:ascii="Arial" w:eastAsia="Times New Roman" w:hAnsi="Arial" w:cs="Arial"/>
          <w:color w:val="363636"/>
          <w:sz w:val="21"/>
          <w:szCs w:val="21"/>
        </w:rPr>
        <w:t>recommendations..</w:t>
      </w:r>
      <w:proofErr w:type="gramEnd"/>
      <w:r w:rsidRPr="009E0ED6">
        <w:rPr>
          <w:rFonts w:ascii="Arial" w:eastAsia="Times New Roman" w:hAnsi="Arial" w:cs="Arial"/>
          <w:color w:val="363636"/>
          <w:sz w:val="21"/>
          <w:szCs w:val="21"/>
        </w:rPr>
        <w:t xml:space="preserve"> If you would just like to observe one session to determine if this program is the right fit for you, please </w:t>
      </w:r>
      <w:hyperlink r:id="rId6" w:history="1">
        <w:r w:rsidRPr="009E0ED6">
          <w:rPr>
            <w:rFonts w:ascii="Arial" w:eastAsia="Times New Roman" w:hAnsi="Arial" w:cs="Arial"/>
            <w:color w:val="337AB7"/>
            <w:sz w:val="21"/>
            <w:szCs w:val="21"/>
            <w:u w:val="single"/>
          </w:rPr>
          <w:t>email us</w:t>
        </w:r>
      </w:hyperlink>
      <w:r w:rsidRPr="009E0ED6">
        <w:rPr>
          <w:rFonts w:ascii="Arial" w:eastAsia="Times New Roman" w:hAnsi="Arial" w:cs="Arial"/>
          <w:color w:val="363636"/>
          <w:sz w:val="21"/>
          <w:szCs w:val="21"/>
        </w:rPr>
        <w:t>. Please read and adhere to the </w:t>
      </w:r>
      <w:hyperlink r:id="rId7" w:history="1">
        <w:r w:rsidRPr="009E0ED6">
          <w:rPr>
            <w:rFonts w:ascii="Arial" w:eastAsia="Times New Roman" w:hAnsi="Arial" w:cs="Arial"/>
            <w:b/>
            <w:bCs/>
            <w:color w:val="337AB7"/>
            <w:sz w:val="21"/>
            <w:szCs w:val="21"/>
          </w:rPr>
          <w:t>Terms of Participation.</w:t>
        </w:r>
      </w:hyperlink>
      <w:r w:rsidRPr="009E0ED6">
        <w:rPr>
          <w:rFonts w:ascii="Arial" w:eastAsia="Times New Roman" w:hAnsi="Arial" w:cs="Arial"/>
          <w:color w:val="363636"/>
          <w:sz w:val="21"/>
          <w:szCs w:val="21"/>
        </w:rPr>
        <w:t> </w:t>
      </w:r>
      <w:r w:rsidRPr="009E0ED6">
        <w:rPr>
          <w:rFonts w:ascii="Arial" w:eastAsia="Times New Roman" w:hAnsi="Arial" w:cs="Arial"/>
          <w:b/>
          <w:bCs/>
          <w:color w:val="363636"/>
          <w:sz w:val="21"/>
          <w:szCs w:val="21"/>
        </w:rPr>
        <w:t>Your registration below confirms your acceptance of these Terms.</w:t>
      </w:r>
    </w:p>
    <w:p w:rsidR="009E0ED6" w:rsidRPr="009E0ED6" w:rsidRDefault="009E0ED6" w:rsidP="009E0ED6">
      <w:pPr>
        <w:spacing w:after="300" w:line="300" w:lineRule="atLeast"/>
        <w:rPr>
          <w:rFonts w:ascii="Arial" w:eastAsia="Times New Roman" w:hAnsi="Arial" w:cs="Arial"/>
          <w:color w:val="363636"/>
          <w:sz w:val="21"/>
          <w:szCs w:val="21"/>
        </w:rPr>
      </w:pPr>
      <w:r w:rsidRPr="009E0ED6">
        <w:rPr>
          <w:rFonts w:ascii="Arial" w:eastAsia="Times New Roman" w:hAnsi="Arial" w:cs="Arial"/>
          <w:b/>
          <w:bCs/>
          <w:color w:val="363636"/>
          <w:sz w:val="21"/>
          <w:szCs w:val="21"/>
        </w:rPr>
        <w:t>Register below. </w:t>
      </w:r>
      <w:r w:rsidRPr="009E0ED6">
        <w:rPr>
          <w:rFonts w:ascii="Arial" w:eastAsia="Times New Roman" w:hAnsi="Arial" w:cs="Arial"/>
          <w:color w:val="363636"/>
          <w:sz w:val="21"/>
          <w:szCs w:val="21"/>
        </w:rPr>
        <w:t xml:space="preserve">After you complete the registration form, we will follow up with onboarding information so that you can join our live sessions. If you have any questions, please reach out to Lindsey </w:t>
      </w:r>
      <w:proofErr w:type="spellStart"/>
      <w:r w:rsidRPr="009E0ED6">
        <w:rPr>
          <w:rFonts w:ascii="Arial" w:eastAsia="Times New Roman" w:hAnsi="Arial" w:cs="Arial"/>
          <w:color w:val="363636"/>
          <w:sz w:val="21"/>
          <w:szCs w:val="21"/>
        </w:rPr>
        <w:t>Lehet</w:t>
      </w:r>
      <w:proofErr w:type="spellEnd"/>
      <w:r w:rsidRPr="009E0ED6">
        <w:rPr>
          <w:rFonts w:ascii="Arial" w:eastAsia="Times New Roman" w:hAnsi="Arial" w:cs="Arial"/>
          <w:color w:val="363636"/>
          <w:sz w:val="21"/>
          <w:szCs w:val="21"/>
        </w:rPr>
        <w:t>, Program Specialist, at </w:t>
      </w:r>
      <w:hyperlink r:id="rId8" w:history="1">
        <w:r w:rsidRPr="009E0ED6">
          <w:rPr>
            <w:rFonts w:ascii="Arial" w:eastAsia="Times New Roman" w:hAnsi="Arial" w:cs="Arial"/>
            <w:color w:val="337AB7"/>
            <w:sz w:val="21"/>
            <w:szCs w:val="21"/>
            <w:u w:val="single"/>
          </w:rPr>
          <w:t>LehetL@chc1.com</w:t>
        </w:r>
      </w:hyperlink>
      <w:r w:rsidRPr="009E0ED6">
        <w:rPr>
          <w:rFonts w:ascii="Arial" w:eastAsia="Times New Roman" w:hAnsi="Arial" w:cs="Arial"/>
          <w:color w:val="363636"/>
          <w:sz w:val="21"/>
          <w:szCs w:val="21"/>
        </w:rPr>
        <w:t>.</w:t>
      </w:r>
    </w:p>
    <w:p w:rsidR="009E0ED6" w:rsidRPr="009E0ED6" w:rsidRDefault="009E0ED6" w:rsidP="009E0ED6">
      <w:pPr>
        <w:spacing w:after="300" w:line="300" w:lineRule="atLeast"/>
        <w:rPr>
          <w:rFonts w:ascii="Arial" w:eastAsia="Times New Roman" w:hAnsi="Arial" w:cs="Arial"/>
          <w:color w:val="363636"/>
          <w:sz w:val="21"/>
          <w:szCs w:val="21"/>
        </w:rPr>
      </w:pPr>
      <w:r w:rsidRPr="009E0ED6">
        <w:rPr>
          <w:rFonts w:ascii="Arial" w:eastAsia="Times New Roman" w:hAnsi="Arial" w:cs="Arial"/>
          <w:i/>
          <w:iCs/>
          <w:color w:val="363636"/>
          <w:sz w:val="15"/>
          <w:szCs w:val="15"/>
        </w:rPr>
        <w:t xml:space="preserve">The Complex Integrated Pediatrics program is supported in part by the Health Resources and Services Administration (HRSA) of the U.S. Department of Health and Human Services (HHS) as part of two awards totaling $101,429 and $333,362 with 0 percent financed with non-governmental sources. The contents are those of the author(s) and do not necessarily represent the official views of, nor an endorsement, by HRSA, HHS, or the U.S. Government. For more information, please visit </w:t>
      </w:r>
      <w:proofErr w:type="gramStart"/>
      <w:r w:rsidRPr="009E0ED6">
        <w:rPr>
          <w:rFonts w:ascii="Arial" w:eastAsia="Times New Roman" w:hAnsi="Arial" w:cs="Arial"/>
          <w:i/>
          <w:iCs/>
          <w:color w:val="363636"/>
          <w:sz w:val="15"/>
          <w:szCs w:val="15"/>
        </w:rPr>
        <w:t>HRSA.gov.​</w:t>
      </w:r>
      <w:proofErr w:type="gramEnd"/>
    </w:p>
    <w:p w:rsidR="0038659C" w:rsidRDefault="0038659C"/>
    <w:sectPr w:rsidR="00386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D6"/>
    <w:rsid w:val="0038659C"/>
    <w:rsid w:val="00614AAD"/>
    <w:rsid w:val="009E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3D536-DBC7-41C3-AB97-F267E795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900743">
      <w:bodyDiv w:val="1"/>
      <w:marLeft w:val="0"/>
      <w:marRight w:val="0"/>
      <w:marTop w:val="0"/>
      <w:marBottom w:val="0"/>
      <w:divBdr>
        <w:top w:val="none" w:sz="0" w:space="0" w:color="auto"/>
        <w:left w:val="none" w:sz="0" w:space="0" w:color="auto"/>
        <w:bottom w:val="none" w:sz="0" w:space="0" w:color="auto"/>
        <w:right w:val="none" w:sz="0" w:space="0" w:color="auto"/>
      </w:divBdr>
      <w:divsChild>
        <w:div w:id="1865820885">
          <w:marLeft w:val="0"/>
          <w:marRight w:val="0"/>
          <w:marTop w:val="0"/>
          <w:marBottom w:val="0"/>
          <w:divBdr>
            <w:top w:val="none" w:sz="0" w:space="0" w:color="auto"/>
            <w:left w:val="none" w:sz="0" w:space="0" w:color="auto"/>
            <w:bottom w:val="none" w:sz="0" w:space="0" w:color="auto"/>
            <w:right w:val="none" w:sz="0" w:space="0" w:color="auto"/>
          </w:divBdr>
          <w:divsChild>
            <w:div w:id="729234936">
              <w:marLeft w:val="0"/>
              <w:marRight w:val="0"/>
              <w:marTop w:val="0"/>
              <w:marBottom w:val="0"/>
              <w:divBdr>
                <w:top w:val="none" w:sz="0" w:space="0" w:color="auto"/>
                <w:left w:val="none" w:sz="0" w:space="0" w:color="auto"/>
                <w:bottom w:val="none" w:sz="0" w:space="0" w:color="auto"/>
                <w:right w:val="none" w:sz="0" w:space="0" w:color="auto"/>
              </w:divBdr>
              <w:divsChild>
                <w:div w:id="1839688873">
                  <w:marLeft w:val="0"/>
                  <w:marRight w:val="0"/>
                  <w:marTop w:val="0"/>
                  <w:marBottom w:val="0"/>
                  <w:divBdr>
                    <w:top w:val="none" w:sz="0" w:space="0" w:color="auto"/>
                    <w:left w:val="none" w:sz="0" w:space="0" w:color="auto"/>
                    <w:bottom w:val="none" w:sz="0" w:space="0" w:color="auto"/>
                    <w:right w:val="none" w:sz="0" w:space="0" w:color="auto"/>
                  </w:divBdr>
                  <w:divsChild>
                    <w:div w:id="4630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etL@chc1.com" TargetMode="External"/><Relationship Id="rId3" Type="http://schemas.openxmlformats.org/officeDocument/2006/relationships/webSettings" Target="webSettings.xml"/><Relationship Id="rId7" Type="http://schemas.openxmlformats.org/officeDocument/2006/relationships/hyperlink" Target="https://www.weitzmaninstitute.org/sites/default/files/Weitzman%20ECHO%20Terms%20of%20Participation%20Fina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hetl@chc1.com?subject=Observing%20a%20CIP%20ECHO%20Session" TargetMode="External"/><Relationship Id="rId5" Type="http://schemas.openxmlformats.org/officeDocument/2006/relationships/hyperlink" Target="https://www.weitzmaninstitute.org/complex-integrated-pediatric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Campbell</dc:creator>
  <cp:keywords/>
  <dc:description/>
  <cp:lastModifiedBy>Susanne Campbell</cp:lastModifiedBy>
  <cp:revision>1</cp:revision>
  <dcterms:created xsi:type="dcterms:W3CDTF">2020-09-08T11:20:00Z</dcterms:created>
  <dcterms:modified xsi:type="dcterms:W3CDTF">2020-09-08T11:21:00Z</dcterms:modified>
</cp:coreProperties>
</file>