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20C" w:rsidRPr="008D3905" w:rsidRDefault="00DA0DFE" w:rsidP="00DA0DFE">
      <w:pPr>
        <w:jc w:val="center"/>
        <w:rPr>
          <w:b/>
          <w:sz w:val="28"/>
          <w:szCs w:val="28"/>
        </w:rPr>
      </w:pPr>
      <w:bookmarkStart w:id="0" w:name="_GoBack"/>
      <w:bookmarkEnd w:id="0"/>
      <w:r w:rsidRPr="008D3905">
        <w:rPr>
          <w:b/>
          <w:color w:val="FF0000"/>
          <w:sz w:val="28"/>
          <w:szCs w:val="28"/>
        </w:rPr>
        <w:br/>
      </w:r>
      <w:r w:rsidR="000E520C" w:rsidRPr="008D3905">
        <w:rPr>
          <w:b/>
          <w:sz w:val="28"/>
          <w:szCs w:val="28"/>
        </w:rPr>
        <w:t>UnitedHealthcare Tele</w:t>
      </w:r>
      <w:r w:rsidR="00545746" w:rsidRPr="008D3905">
        <w:rPr>
          <w:b/>
          <w:sz w:val="28"/>
          <w:szCs w:val="28"/>
        </w:rPr>
        <w:t>health</w:t>
      </w:r>
      <w:r w:rsidR="000E520C" w:rsidRPr="008D3905">
        <w:rPr>
          <w:b/>
          <w:sz w:val="28"/>
          <w:szCs w:val="28"/>
        </w:rPr>
        <w:t xml:space="preserve"> Project</w:t>
      </w:r>
    </w:p>
    <w:p w:rsidR="003F672C" w:rsidRPr="008D3905" w:rsidRDefault="0044472E" w:rsidP="00BA067E">
      <w:pPr>
        <w:rPr>
          <w:sz w:val="24"/>
          <w:szCs w:val="24"/>
        </w:rPr>
      </w:pPr>
      <w:r w:rsidRPr="008D3905">
        <w:rPr>
          <w:b/>
          <w:sz w:val="24"/>
          <w:szCs w:val="24"/>
        </w:rPr>
        <w:t>Background</w:t>
      </w:r>
      <w:r w:rsidR="008F56F9" w:rsidRPr="008D3905">
        <w:rPr>
          <w:b/>
          <w:sz w:val="24"/>
          <w:szCs w:val="24"/>
        </w:rPr>
        <w:t>:</w:t>
      </w:r>
      <w:r w:rsidR="00BA067E" w:rsidRPr="008D3905">
        <w:rPr>
          <w:b/>
          <w:sz w:val="24"/>
          <w:szCs w:val="24"/>
        </w:rPr>
        <w:t xml:space="preserve"> </w:t>
      </w:r>
      <w:r w:rsidR="0050757C" w:rsidRPr="008D3905">
        <w:rPr>
          <w:sz w:val="24"/>
          <w:szCs w:val="24"/>
        </w:rPr>
        <w:t>UnitedHealthcare (UH</w:t>
      </w:r>
      <w:r w:rsidR="00646382" w:rsidRPr="008D3905">
        <w:rPr>
          <w:sz w:val="24"/>
          <w:szCs w:val="24"/>
        </w:rPr>
        <w:t>C</w:t>
      </w:r>
      <w:r w:rsidR="0050757C" w:rsidRPr="008D3905">
        <w:rPr>
          <w:sz w:val="24"/>
          <w:szCs w:val="24"/>
        </w:rPr>
        <w:t xml:space="preserve">) </w:t>
      </w:r>
      <w:r w:rsidR="003F672C" w:rsidRPr="008D3905">
        <w:rPr>
          <w:sz w:val="24"/>
          <w:szCs w:val="24"/>
        </w:rPr>
        <w:t xml:space="preserve">provided funding to Care Transformation Collaborative of RI (CTC-RI) to implement a Primary Care </w:t>
      </w:r>
      <w:r w:rsidR="00313CFA">
        <w:rPr>
          <w:sz w:val="24"/>
          <w:szCs w:val="24"/>
        </w:rPr>
        <w:t>Telehealth</w:t>
      </w:r>
      <w:r w:rsidR="003F672C" w:rsidRPr="008D3905">
        <w:rPr>
          <w:sz w:val="24"/>
          <w:szCs w:val="24"/>
        </w:rPr>
        <w:t xml:space="preserve"> P</w:t>
      </w:r>
      <w:r w:rsidR="0050757C" w:rsidRPr="008D3905">
        <w:rPr>
          <w:sz w:val="24"/>
          <w:szCs w:val="24"/>
        </w:rPr>
        <w:t>roject</w:t>
      </w:r>
      <w:r w:rsidR="003F672C" w:rsidRPr="008D3905">
        <w:rPr>
          <w:sz w:val="24"/>
          <w:szCs w:val="24"/>
        </w:rPr>
        <w:t xml:space="preserve">. </w:t>
      </w:r>
    </w:p>
    <w:p w:rsidR="000E520C" w:rsidRDefault="000E520C" w:rsidP="00DE7072">
      <w:pPr>
        <w:spacing w:after="0" w:line="240" w:lineRule="auto"/>
        <w:textAlignment w:val="center"/>
        <w:rPr>
          <w:sz w:val="24"/>
          <w:szCs w:val="24"/>
        </w:rPr>
      </w:pPr>
    </w:p>
    <w:p w:rsidR="008D3905" w:rsidRPr="00470B9F" w:rsidRDefault="008D3905" w:rsidP="008D3905">
      <w:pPr>
        <w:shd w:val="clear" w:color="auto" w:fill="FFFFFF"/>
        <w:spacing w:after="0" w:line="240" w:lineRule="auto"/>
        <w:rPr>
          <w:b/>
          <w:sz w:val="24"/>
          <w:szCs w:val="24"/>
        </w:rPr>
      </w:pPr>
      <w:r w:rsidRPr="00470B9F">
        <w:rPr>
          <w:b/>
          <w:sz w:val="24"/>
          <w:szCs w:val="24"/>
        </w:rPr>
        <w:t>Guiding Principles for Recruitment of Practices for Needs Assessment:</w:t>
      </w:r>
    </w:p>
    <w:p w:rsidR="008D3905" w:rsidRDefault="00943AAB" w:rsidP="008D3905">
      <w:pPr>
        <w:shd w:val="clear" w:color="auto" w:fill="FFFFFF"/>
        <w:spacing w:after="0" w:line="240" w:lineRule="auto"/>
        <w:rPr>
          <w:sz w:val="24"/>
          <w:szCs w:val="24"/>
        </w:rPr>
      </w:pPr>
      <w:r>
        <w:rPr>
          <w:sz w:val="24"/>
          <w:szCs w:val="24"/>
        </w:rPr>
        <w:t>All</w:t>
      </w:r>
      <w:r w:rsidR="008D3905">
        <w:rPr>
          <w:sz w:val="24"/>
          <w:szCs w:val="24"/>
        </w:rPr>
        <w:t xml:space="preserve"> Systems of C</w:t>
      </w:r>
      <w:r w:rsidR="008D3905" w:rsidRPr="00470B9F">
        <w:rPr>
          <w:sz w:val="24"/>
          <w:szCs w:val="24"/>
        </w:rPr>
        <w:t xml:space="preserve">are in RI will be asked to identify practices who will be funded to complete the practice needs assessment and patient engagement surveys using the following criteria as appropriate: </w:t>
      </w:r>
    </w:p>
    <w:p w:rsidR="008D3905" w:rsidRPr="00470B9F" w:rsidRDefault="008D3905" w:rsidP="008D3905">
      <w:pPr>
        <w:shd w:val="clear" w:color="auto" w:fill="FFFFFF"/>
        <w:spacing w:after="0" w:line="240" w:lineRule="auto"/>
        <w:rPr>
          <w:sz w:val="24"/>
          <w:szCs w:val="24"/>
        </w:rPr>
      </w:pPr>
    </w:p>
    <w:p w:rsidR="008D3905" w:rsidRPr="00470B9F" w:rsidRDefault="008D3905" w:rsidP="008D3905">
      <w:pPr>
        <w:pStyle w:val="ListParagraph"/>
        <w:numPr>
          <w:ilvl w:val="0"/>
          <w:numId w:val="5"/>
        </w:numPr>
        <w:shd w:val="clear" w:color="auto" w:fill="FFFFFF"/>
        <w:spacing w:after="0" w:line="240" w:lineRule="auto"/>
        <w:rPr>
          <w:sz w:val="24"/>
          <w:szCs w:val="24"/>
        </w:rPr>
      </w:pPr>
      <w:r w:rsidRPr="00470B9F">
        <w:rPr>
          <w:sz w:val="24"/>
          <w:szCs w:val="24"/>
        </w:rPr>
        <w:t>Different size practices; (aim for minimum of 50% of practices recruited to be small practices with 1-5 providers);</w:t>
      </w:r>
    </w:p>
    <w:p w:rsidR="008D3905" w:rsidRPr="00470B9F" w:rsidRDefault="008D3905" w:rsidP="008D3905">
      <w:pPr>
        <w:pStyle w:val="ListParagraph"/>
        <w:numPr>
          <w:ilvl w:val="0"/>
          <w:numId w:val="5"/>
        </w:numPr>
        <w:shd w:val="clear" w:color="auto" w:fill="FFFFFF"/>
        <w:spacing w:after="0" w:line="240" w:lineRule="auto"/>
        <w:rPr>
          <w:sz w:val="24"/>
          <w:szCs w:val="24"/>
        </w:rPr>
      </w:pPr>
      <w:r w:rsidRPr="00470B9F">
        <w:rPr>
          <w:sz w:val="24"/>
          <w:szCs w:val="24"/>
        </w:rPr>
        <w:t>Different populations served (pediatric/family/adult/geriatric);</w:t>
      </w:r>
    </w:p>
    <w:p w:rsidR="008D3905" w:rsidRPr="008167CA" w:rsidRDefault="008D3905" w:rsidP="008D3905">
      <w:pPr>
        <w:pStyle w:val="ListParagraph"/>
        <w:numPr>
          <w:ilvl w:val="0"/>
          <w:numId w:val="5"/>
        </w:numPr>
        <w:shd w:val="clear" w:color="auto" w:fill="FFFFFF"/>
        <w:spacing w:after="0" w:line="240" w:lineRule="auto"/>
        <w:rPr>
          <w:sz w:val="24"/>
          <w:szCs w:val="24"/>
        </w:rPr>
      </w:pPr>
      <w:r w:rsidRPr="008167CA">
        <w:rPr>
          <w:sz w:val="24"/>
          <w:szCs w:val="24"/>
        </w:rPr>
        <w:t>Different locations within the state (inclusive of all RI counties)</w:t>
      </w:r>
    </w:p>
    <w:p w:rsidR="008D3905" w:rsidRPr="008167CA" w:rsidRDefault="008D3905" w:rsidP="008D3905">
      <w:pPr>
        <w:pStyle w:val="ListParagraph"/>
        <w:numPr>
          <w:ilvl w:val="0"/>
          <w:numId w:val="5"/>
        </w:numPr>
        <w:shd w:val="clear" w:color="auto" w:fill="FFFFFF"/>
        <w:spacing w:after="0" w:line="240" w:lineRule="auto"/>
        <w:rPr>
          <w:sz w:val="24"/>
          <w:szCs w:val="24"/>
        </w:rPr>
      </w:pPr>
      <w:r w:rsidRPr="008167CA">
        <w:rPr>
          <w:sz w:val="24"/>
          <w:szCs w:val="24"/>
        </w:rPr>
        <w:t>Focus on high concentration areas of COVID-19, such as Pawtucket, Central Falls, Woonsocket;</w:t>
      </w:r>
    </w:p>
    <w:p w:rsidR="008D3905" w:rsidRPr="008167CA" w:rsidRDefault="008D3905" w:rsidP="008D3905">
      <w:pPr>
        <w:pStyle w:val="ListParagraph"/>
        <w:numPr>
          <w:ilvl w:val="0"/>
          <w:numId w:val="5"/>
        </w:numPr>
        <w:shd w:val="clear" w:color="auto" w:fill="FFFFFF"/>
        <w:spacing w:after="0" w:line="240" w:lineRule="auto"/>
        <w:rPr>
          <w:sz w:val="24"/>
          <w:szCs w:val="24"/>
        </w:rPr>
      </w:pPr>
      <w:r w:rsidRPr="008167CA">
        <w:rPr>
          <w:sz w:val="24"/>
          <w:szCs w:val="24"/>
        </w:rPr>
        <w:t>Focus on practice patient ethnicity;</w:t>
      </w:r>
      <w:r w:rsidRPr="008167CA">
        <w:rPr>
          <w:rFonts w:ascii="Arial" w:hAnsi="Arial" w:cs="Arial"/>
          <w:sz w:val="24"/>
          <w:szCs w:val="24"/>
          <w:shd w:val="clear" w:color="auto" w:fill="FFFFFF"/>
        </w:rPr>
        <w:t xml:space="preserve"> </w:t>
      </w:r>
      <w:r w:rsidRPr="008167CA">
        <w:rPr>
          <w:sz w:val="24"/>
          <w:szCs w:val="24"/>
        </w:rPr>
        <w:t>include low-socioeconomic status (SES) households</w:t>
      </w:r>
    </w:p>
    <w:p w:rsidR="008D3905" w:rsidRPr="008167CA" w:rsidRDefault="008D3905" w:rsidP="008D3905">
      <w:pPr>
        <w:pStyle w:val="ListParagraph"/>
        <w:numPr>
          <w:ilvl w:val="0"/>
          <w:numId w:val="5"/>
        </w:numPr>
        <w:shd w:val="clear" w:color="auto" w:fill="FFFFFF"/>
        <w:spacing w:after="0" w:line="240" w:lineRule="auto"/>
        <w:rPr>
          <w:sz w:val="24"/>
          <w:szCs w:val="24"/>
        </w:rPr>
      </w:pPr>
      <w:r w:rsidRPr="008167CA">
        <w:rPr>
          <w:sz w:val="24"/>
          <w:szCs w:val="24"/>
        </w:rPr>
        <w:t xml:space="preserve">Include variety of practices that can provide team perspective (behavioral health, pharmacy, medical assistant, IT, practice management). </w:t>
      </w:r>
    </w:p>
    <w:p w:rsidR="008D3905" w:rsidRDefault="008D3905" w:rsidP="008D3905">
      <w:pPr>
        <w:spacing w:after="0" w:line="240" w:lineRule="auto"/>
        <w:textAlignment w:val="center"/>
        <w:rPr>
          <w:sz w:val="24"/>
          <w:szCs w:val="24"/>
        </w:rPr>
      </w:pPr>
      <w:r w:rsidRPr="008167CA">
        <w:rPr>
          <w:sz w:val="24"/>
          <w:szCs w:val="24"/>
        </w:rPr>
        <w:t xml:space="preserve">Practices are asked to obtain patient input on patient/parent experiences with using or not using telehealth services to help inform the work they are doing to best meet patient telehealth needs.  The intent would be that practices could potentially use this patient/parent information to improve care using a Rapid-Cycle PDSA approach.  Patient input will additionally to be used to inform educational webinar series and design for the Pilot Telehealth Project. </w:t>
      </w:r>
      <w:r w:rsidRPr="008167CA">
        <w:rPr>
          <w:sz w:val="24"/>
          <w:szCs w:val="24"/>
        </w:rPr>
        <w:br/>
      </w:r>
    </w:p>
    <w:p w:rsidR="008D3905" w:rsidRPr="00470B9F" w:rsidRDefault="008D3905" w:rsidP="008D3905">
      <w:pPr>
        <w:shd w:val="clear" w:color="auto" w:fill="FFFFFF"/>
        <w:spacing w:after="0" w:line="240" w:lineRule="auto"/>
        <w:rPr>
          <w:b/>
          <w:sz w:val="24"/>
          <w:szCs w:val="24"/>
        </w:rPr>
      </w:pPr>
      <w:r w:rsidRPr="00470B9F">
        <w:rPr>
          <w:b/>
          <w:sz w:val="24"/>
          <w:szCs w:val="24"/>
        </w:rPr>
        <w:t xml:space="preserve">Guiding Principles/Practice Responsibilities for Practice Needs Assessment: </w:t>
      </w:r>
    </w:p>
    <w:p w:rsidR="008D3905" w:rsidRDefault="008D3905" w:rsidP="008D3905">
      <w:pPr>
        <w:shd w:val="clear" w:color="auto" w:fill="FFFFFF"/>
        <w:spacing w:after="0" w:line="240" w:lineRule="auto"/>
        <w:rPr>
          <w:sz w:val="24"/>
          <w:szCs w:val="24"/>
        </w:rPr>
      </w:pPr>
      <w:r w:rsidRPr="00470B9F">
        <w:rPr>
          <w:sz w:val="24"/>
          <w:szCs w:val="24"/>
        </w:rPr>
        <w:t xml:space="preserve">Identified practices will be asked to sign a </w:t>
      </w:r>
      <w:r w:rsidRPr="00470B9F">
        <w:rPr>
          <w:sz w:val="24"/>
          <w:szCs w:val="24"/>
          <w:u w:val="single"/>
        </w:rPr>
        <w:t xml:space="preserve">Participative Agreement </w:t>
      </w:r>
      <w:r w:rsidRPr="00470B9F">
        <w:rPr>
          <w:sz w:val="24"/>
          <w:szCs w:val="24"/>
        </w:rPr>
        <w:t xml:space="preserve">and use the team approach* for completing the practice needs assessment (such as: Provider, Medical Assistant, Nurse Care Manager, Behavioral Clinician, Pharmacist, Practice Manager, IT) and submit practice and patient needs assessments information using Survey Monkey Platform.  The goal is to get feedback and needs from different staff at the practices. Practice Needs Assessment would be completed by September 15, 2020. </w:t>
      </w:r>
      <w:r>
        <w:rPr>
          <w:sz w:val="24"/>
          <w:szCs w:val="24"/>
        </w:rPr>
        <w:t xml:space="preserve">  </w:t>
      </w:r>
    </w:p>
    <w:p w:rsidR="00D076B8" w:rsidRPr="00470B9F" w:rsidRDefault="00D076B8" w:rsidP="008D3905">
      <w:pPr>
        <w:shd w:val="clear" w:color="auto" w:fill="FFFFFF"/>
        <w:spacing w:after="0" w:line="240" w:lineRule="auto"/>
        <w:rPr>
          <w:b/>
          <w:sz w:val="24"/>
          <w:szCs w:val="24"/>
        </w:rPr>
      </w:pPr>
    </w:p>
    <w:p w:rsidR="008D3905" w:rsidRPr="00470B9F" w:rsidRDefault="008D3905" w:rsidP="008D3905">
      <w:pPr>
        <w:shd w:val="clear" w:color="auto" w:fill="FFFFFF"/>
        <w:spacing w:after="0" w:line="240" w:lineRule="auto"/>
        <w:rPr>
          <w:b/>
          <w:sz w:val="24"/>
          <w:szCs w:val="24"/>
        </w:rPr>
      </w:pPr>
      <w:r w:rsidRPr="00470B9F">
        <w:rPr>
          <w:b/>
          <w:sz w:val="24"/>
          <w:szCs w:val="24"/>
        </w:rPr>
        <w:t>Guiding Principles for obtaining Patient Engagement Information:</w:t>
      </w:r>
    </w:p>
    <w:p w:rsidR="008D3905" w:rsidRPr="00470B9F" w:rsidRDefault="008D3905" w:rsidP="008D3905">
      <w:pPr>
        <w:shd w:val="clear" w:color="auto" w:fill="FFFFFF"/>
        <w:spacing w:after="0" w:line="240" w:lineRule="auto"/>
        <w:rPr>
          <w:sz w:val="24"/>
          <w:szCs w:val="24"/>
        </w:rPr>
      </w:pPr>
      <w:r w:rsidRPr="00470B9F">
        <w:rPr>
          <w:sz w:val="24"/>
          <w:szCs w:val="24"/>
        </w:rPr>
        <w:t xml:space="preserve">Identified practices will be asked to obtain patient information using the following criteria: </w:t>
      </w:r>
    </w:p>
    <w:p w:rsidR="008D3905" w:rsidRPr="00470B9F" w:rsidRDefault="008D3905" w:rsidP="008D3905">
      <w:pPr>
        <w:pStyle w:val="ListParagraph"/>
        <w:numPr>
          <w:ilvl w:val="0"/>
          <w:numId w:val="6"/>
        </w:numPr>
        <w:shd w:val="clear" w:color="auto" w:fill="FFFFFF"/>
        <w:spacing w:after="0" w:line="240" w:lineRule="auto"/>
        <w:rPr>
          <w:sz w:val="24"/>
          <w:szCs w:val="24"/>
        </w:rPr>
      </w:pPr>
      <w:r w:rsidRPr="00470B9F">
        <w:rPr>
          <w:sz w:val="24"/>
          <w:szCs w:val="24"/>
        </w:rPr>
        <w:t xml:space="preserve">Include minimum of 5 patients who used telemedicine; </w:t>
      </w:r>
    </w:p>
    <w:p w:rsidR="008D3905" w:rsidRPr="00470B9F" w:rsidRDefault="008D3905" w:rsidP="008D3905">
      <w:pPr>
        <w:pStyle w:val="ListParagraph"/>
        <w:numPr>
          <w:ilvl w:val="0"/>
          <w:numId w:val="6"/>
        </w:numPr>
        <w:shd w:val="clear" w:color="auto" w:fill="FFFFFF"/>
        <w:spacing w:after="0" w:line="240" w:lineRule="auto"/>
        <w:rPr>
          <w:sz w:val="24"/>
          <w:szCs w:val="24"/>
        </w:rPr>
      </w:pPr>
      <w:r w:rsidRPr="00470B9F">
        <w:rPr>
          <w:sz w:val="24"/>
          <w:szCs w:val="24"/>
        </w:rPr>
        <w:t>Include minimum of 5 patients who have not used telemedicine;</w:t>
      </w:r>
    </w:p>
    <w:p w:rsidR="008D3905" w:rsidRPr="00470B9F" w:rsidRDefault="008D3905" w:rsidP="008D3905">
      <w:pPr>
        <w:pStyle w:val="ListParagraph"/>
        <w:numPr>
          <w:ilvl w:val="0"/>
          <w:numId w:val="6"/>
        </w:numPr>
        <w:shd w:val="clear" w:color="auto" w:fill="FFFFFF"/>
        <w:spacing w:after="0" w:line="240" w:lineRule="auto"/>
        <w:rPr>
          <w:sz w:val="24"/>
          <w:szCs w:val="24"/>
        </w:rPr>
      </w:pPr>
      <w:r w:rsidRPr="00470B9F">
        <w:rPr>
          <w:sz w:val="24"/>
          <w:szCs w:val="24"/>
        </w:rPr>
        <w:t>Consider how we obtain input from patients who are using phone only;</w:t>
      </w:r>
    </w:p>
    <w:p w:rsidR="008D3905" w:rsidRPr="008167CA" w:rsidRDefault="008D3905" w:rsidP="008D3905">
      <w:pPr>
        <w:pStyle w:val="ListParagraph"/>
        <w:numPr>
          <w:ilvl w:val="0"/>
          <w:numId w:val="5"/>
        </w:numPr>
        <w:shd w:val="clear" w:color="auto" w:fill="FFFFFF"/>
        <w:spacing w:after="0" w:line="240" w:lineRule="auto"/>
        <w:rPr>
          <w:sz w:val="24"/>
          <w:szCs w:val="24"/>
        </w:rPr>
      </w:pPr>
      <w:r w:rsidRPr="00470B9F">
        <w:rPr>
          <w:sz w:val="24"/>
          <w:szCs w:val="24"/>
        </w:rPr>
        <w:t xml:space="preserve">For adult practices, aim to get assessment from at least 50% of patients who are over the age of 65, </w:t>
      </w:r>
      <w:r w:rsidRPr="008167CA">
        <w:rPr>
          <w:sz w:val="24"/>
          <w:szCs w:val="24"/>
        </w:rPr>
        <w:t>include low-socioeconomic status (SES) households</w:t>
      </w:r>
    </w:p>
    <w:p w:rsidR="008D3905" w:rsidRPr="008167CA" w:rsidRDefault="008D3905" w:rsidP="008D3905">
      <w:pPr>
        <w:pStyle w:val="ListParagraph"/>
        <w:numPr>
          <w:ilvl w:val="0"/>
          <w:numId w:val="5"/>
        </w:numPr>
        <w:shd w:val="clear" w:color="auto" w:fill="FFFFFF"/>
        <w:spacing w:after="0" w:line="240" w:lineRule="auto"/>
        <w:rPr>
          <w:sz w:val="24"/>
          <w:szCs w:val="24"/>
        </w:rPr>
      </w:pPr>
      <w:r w:rsidRPr="008167CA">
        <w:rPr>
          <w:sz w:val="24"/>
          <w:szCs w:val="24"/>
        </w:rPr>
        <w:t>Include non-English speaking patients (Patient Surveys will be made available in Spanish)</w:t>
      </w:r>
    </w:p>
    <w:p w:rsidR="008D3905" w:rsidRPr="008167CA" w:rsidRDefault="008D3905" w:rsidP="008D3905">
      <w:pPr>
        <w:shd w:val="clear" w:color="auto" w:fill="FFFFFF"/>
        <w:spacing w:after="0" w:line="240" w:lineRule="auto"/>
        <w:rPr>
          <w:sz w:val="24"/>
          <w:szCs w:val="24"/>
        </w:rPr>
      </w:pPr>
    </w:p>
    <w:p w:rsidR="008D3905" w:rsidRPr="008D3905" w:rsidRDefault="008D3905" w:rsidP="00A24407">
      <w:pPr>
        <w:shd w:val="clear" w:color="auto" w:fill="FFFFFF"/>
        <w:spacing w:after="0" w:line="240" w:lineRule="auto"/>
        <w:rPr>
          <w:sz w:val="24"/>
          <w:szCs w:val="24"/>
        </w:rPr>
      </w:pPr>
      <w:r w:rsidRPr="00470B9F">
        <w:rPr>
          <w:sz w:val="24"/>
          <w:szCs w:val="24"/>
        </w:rPr>
        <w:lastRenderedPageBreak/>
        <w:t>Each practice may determine the best way to gather patient data (via email of Survey Monkey link, USPS, taken by staff telephonically) and practice site would be responsible for entering</w:t>
      </w:r>
      <w:r>
        <w:rPr>
          <w:sz w:val="24"/>
          <w:szCs w:val="24"/>
        </w:rPr>
        <w:t>/submitting</w:t>
      </w:r>
      <w:r w:rsidRPr="00470B9F">
        <w:rPr>
          <w:sz w:val="24"/>
          <w:szCs w:val="24"/>
        </w:rPr>
        <w:t xml:space="preserve"> the patient survey responses into Survey Monkey platform. Patient engagement survey information would be collected and submitted by September 18, 2020. </w:t>
      </w:r>
      <w:r w:rsidRPr="00470B9F">
        <w:rPr>
          <w:sz w:val="24"/>
          <w:szCs w:val="24"/>
        </w:rPr>
        <w:br/>
      </w:r>
    </w:p>
    <w:p w:rsidR="00CC7BCA" w:rsidRPr="008D3905" w:rsidRDefault="003F672C" w:rsidP="00DE7072">
      <w:pPr>
        <w:spacing w:after="0" w:line="240" w:lineRule="auto"/>
        <w:textAlignment w:val="center"/>
        <w:rPr>
          <w:sz w:val="24"/>
          <w:szCs w:val="24"/>
        </w:rPr>
      </w:pPr>
      <w:r w:rsidRPr="008D3905">
        <w:rPr>
          <w:b/>
          <w:sz w:val="24"/>
          <w:szCs w:val="24"/>
          <w:u w:val="single"/>
        </w:rPr>
        <w:t>Phase 1</w:t>
      </w:r>
      <w:r w:rsidR="00CC7BCA" w:rsidRPr="008D3905">
        <w:rPr>
          <w:b/>
          <w:sz w:val="24"/>
          <w:szCs w:val="24"/>
          <w:u w:val="single"/>
        </w:rPr>
        <w:t>:</w:t>
      </w:r>
      <w:r w:rsidR="00441296" w:rsidRPr="008D3905">
        <w:rPr>
          <w:b/>
          <w:sz w:val="24"/>
          <w:szCs w:val="24"/>
          <w:u w:val="single"/>
        </w:rPr>
        <w:t xml:space="preserve"> </w:t>
      </w:r>
      <w:r w:rsidR="008F56F9" w:rsidRPr="008D3905">
        <w:rPr>
          <w:b/>
          <w:sz w:val="24"/>
          <w:szCs w:val="24"/>
          <w:u w:val="single"/>
        </w:rPr>
        <w:t>Tele</w:t>
      </w:r>
      <w:r w:rsidR="00545746" w:rsidRPr="008D3905">
        <w:rPr>
          <w:b/>
          <w:sz w:val="24"/>
          <w:szCs w:val="24"/>
          <w:u w:val="single"/>
        </w:rPr>
        <w:t>health</w:t>
      </w:r>
      <w:r w:rsidR="008F56F9" w:rsidRPr="008D3905">
        <w:rPr>
          <w:b/>
          <w:sz w:val="24"/>
          <w:szCs w:val="24"/>
        </w:rPr>
        <w:t xml:space="preserve"> </w:t>
      </w:r>
      <w:r w:rsidR="008F56F9" w:rsidRPr="008D3905">
        <w:rPr>
          <w:b/>
          <w:sz w:val="24"/>
          <w:szCs w:val="24"/>
          <w:u w:val="single"/>
        </w:rPr>
        <w:t>Practice/Patient Needs Assessment and Six Month ECHO Learning Webinar Series</w:t>
      </w:r>
      <w:r w:rsidR="008F56F9" w:rsidRPr="008D3905">
        <w:rPr>
          <w:b/>
          <w:sz w:val="24"/>
          <w:szCs w:val="24"/>
        </w:rPr>
        <w:t>:</w:t>
      </w:r>
      <w:r w:rsidR="008F56F9" w:rsidRPr="008D3905">
        <w:rPr>
          <w:sz w:val="24"/>
          <w:szCs w:val="24"/>
        </w:rPr>
        <w:t xml:space="preserve"> </w:t>
      </w:r>
      <w:r w:rsidR="00CC7BCA" w:rsidRPr="008D3905">
        <w:rPr>
          <w:sz w:val="24"/>
          <w:szCs w:val="24"/>
        </w:rPr>
        <w:t>Provide</w:t>
      </w:r>
      <w:r w:rsidRPr="008D3905">
        <w:rPr>
          <w:sz w:val="24"/>
          <w:szCs w:val="24"/>
        </w:rPr>
        <w:t xml:space="preserve"> financial support ($2,000 per practice site) for up to 51</w:t>
      </w:r>
      <w:r w:rsidR="004E47B0" w:rsidRPr="008D3905">
        <w:rPr>
          <w:sz w:val="24"/>
          <w:szCs w:val="24"/>
        </w:rPr>
        <w:t>*</w:t>
      </w:r>
      <w:r w:rsidRPr="008D3905">
        <w:rPr>
          <w:sz w:val="24"/>
          <w:szCs w:val="24"/>
        </w:rPr>
        <w:t xml:space="preserve"> adult and pediatric primary</w:t>
      </w:r>
      <w:r w:rsidR="008129BA" w:rsidRPr="008D3905">
        <w:rPr>
          <w:sz w:val="24"/>
          <w:szCs w:val="24"/>
        </w:rPr>
        <w:t xml:space="preserve"> care </w:t>
      </w:r>
      <w:r w:rsidR="0050757C" w:rsidRPr="008D3905">
        <w:rPr>
          <w:sz w:val="24"/>
          <w:szCs w:val="24"/>
        </w:rPr>
        <w:t>practices</w:t>
      </w:r>
      <w:r w:rsidRPr="008D3905">
        <w:rPr>
          <w:sz w:val="24"/>
          <w:szCs w:val="24"/>
        </w:rPr>
        <w:t xml:space="preserve"> </w:t>
      </w:r>
      <w:r w:rsidR="00CC7BCA" w:rsidRPr="008D3905">
        <w:rPr>
          <w:sz w:val="24"/>
          <w:szCs w:val="24"/>
        </w:rPr>
        <w:t>who complete</w:t>
      </w:r>
      <w:r w:rsidRPr="008D3905">
        <w:rPr>
          <w:sz w:val="24"/>
          <w:szCs w:val="24"/>
        </w:rPr>
        <w:t xml:space="preserve"> practice needs assessment and patient engagement surveys (including </w:t>
      </w:r>
      <w:r w:rsidR="00CC7BCA" w:rsidRPr="008D3905">
        <w:rPr>
          <w:sz w:val="24"/>
          <w:szCs w:val="24"/>
        </w:rPr>
        <w:t xml:space="preserve">a </w:t>
      </w:r>
      <w:r w:rsidRPr="008D3905">
        <w:rPr>
          <w:sz w:val="24"/>
          <w:szCs w:val="24"/>
        </w:rPr>
        <w:t xml:space="preserve"> pa</w:t>
      </w:r>
      <w:r w:rsidR="000E520C" w:rsidRPr="008D3905">
        <w:rPr>
          <w:sz w:val="24"/>
          <w:szCs w:val="24"/>
        </w:rPr>
        <w:t>tients using and not using tele</w:t>
      </w:r>
      <w:r w:rsidRPr="008D3905">
        <w:rPr>
          <w:sz w:val="24"/>
          <w:szCs w:val="24"/>
        </w:rPr>
        <w:t>health</w:t>
      </w:r>
      <w:r w:rsidR="00CC7BCA" w:rsidRPr="008D3905">
        <w:rPr>
          <w:sz w:val="24"/>
          <w:szCs w:val="24"/>
        </w:rPr>
        <w:t>).The practice needs assessment will evaluate: tele</w:t>
      </w:r>
      <w:r w:rsidR="00545746" w:rsidRPr="008D3905">
        <w:rPr>
          <w:sz w:val="24"/>
          <w:szCs w:val="24"/>
        </w:rPr>
        <w:t>health</w:t>
      </w:r>
      <w:r w:rsidR="00CC7BCA" w:rsidRPr="008D3905">
        <w:rPr>
          <w:sz w:val="24"/>
          <w:szCs w:val="24"/>
        </w:rPr>
        <w:t xml:space="preserve"> operational policies, patient/staff experiences, services offered, integration with in-person visits, financial impacts, technology requirements, use of remote patient monitoring and identification of health equity, access to care, and community solutions. The patient engagement survey will evaluate patient satisfaction with using telehealth and barriers/needs/solutions from patients not using telehealth services.</w:t>
      </w:r>
      <w:r w:rsidR="000E520C" w:rsidRPr="008D3905">
        <w:rPr>
          <w:sz w:val="24"/>
          <w:szCs w:val="24"/>
        </w:rPr>
        <w:t xml:space="preserve"> </w:t>
      </w:r>
      <w:r w:rsidRPr="008D3905">
        <w:rPr>
          <w:sz w:val="24"/>
          <w:szCs w:val="24"/>
        </w:rPr>
        <w:t>A Planning Committee</w:t>
      </w:r>
      <w:r w:rsidR="008F56F9" w:rsidRPr="008D3905">
        <w:rPr>
          <w:sz w:val="24"/>
          <w:szCs w:val="24"/>
        </w:rPr>
        <w:t xml:space="preserve"> (including </w:t>
      </w:r>
      <w:r w:rsidR="000E520C" w:rsidRPr="008D3905">
        <w:rPr>
          <w:sz w:val="24"/>
          <w:szCs w:val="24"/>
        </w:rPr>
        <w:t xml:space="preserve">Northeast Telehealth Resource Center </w:t>
      </w:r>
      <w:r w:rsidR="008F56F9" w:rsidRPr="008D3905">
        <w:rPr>
          <w:sz w:val="24"/>
          <w:szCs w:val="24"/>
        </w:rPr>
        <w:t>representation</w:t>
      </w:r>
      <w:r w:rsidR="000E520C" w:rsidRPr="008D3905">
        <w:rPr>
          <w:sz w:val="24"/>
          <w:szCs w:val="24"/>
        </w:rPr>
        <w:t xml:space="preserve">) </w:t>
      </w:r>
      <w:r w:rsidR="008F56F9" w:rsidRPr="008D3905">
        <w:rPr>
          <w:sz w:val="24"/>
          <w:szCs w:val="24"/>
        </w:rPr>
        <w:t>will</w:t>
      </w:r>
      <w:r w:rsidR="000E520C" w:rsidRPr="008D3905">
        <w:rPr>
          <w:sz w:val="24"/>
          <w:szCs w:val="24"/>
        </w:rPr>
        <w:t xml:space="preserve"> develop and implement</w:t>
      </w:r>
      <w:r w:rsidR="0050757C" w:rsidRPr="008D3905">
        <w:rPr>
          <w:sz w:val="24"/>
          <w:szCs w:val="24"/>
        </w:rPr>
        <w:t xml:space="preserve"> </w:t>
      </w:r>
      <w:r w:rsidR="000E520C" w:rsidRPr="008D3905">
        <w:rPr>
          <w:sz w:val="24"/>
          <w:szCs w:val="24"/>
        </w:rPr>
        <w:t>an</w:t>
      </w:r>
      <w:r w:rsidR="0050757C" w:rsidRPr="008D3905">
        <w:rPr>
          <w:sz w:val="24"/>
          <w:szCs w:val="24"/>
        </w:rPr>
        <w:t xml:space="preserve"> educational webinar series</w:t>
      </w:r>
      <w:r w:rsidR="00CC7BCA" w:rsidRPr="008D3905">
        <w:rPr>
          <w:sz w:val="24"/>
          <w:szCs w:val="24"/>
        </w:rPr>
        <w:t xml:space="preserve"> based on review of practice and patient needs assessment findings and recommendations</w:t>
      </w:r>
      <w:r w:rsidR="0050757C" w:rsidRPr="008D3905">
        <w:rPr>
          <w:sz w:val="24"/>
          <w:szCs w:val="24"/>
        </w:rPr>
        <w:t>, and</w:t>
      </w:r>
      <w:r w:rsidR="00CC7BCA" w:rsidRPr="008D3905">
        <w:rPr>
          <w:sz w:val="24"/>
          <w:szCs w:val="24"/>
        </w:rPr>
        <w:t xml:space="preserve"> design and implement a 6-month webinar series.</w:t>
      </w:r>
      <w:r w:rsidR="000E520C" w:rsidRPr="008D3905">
        <w:rPr>
          <w:sz w:val="24"/>
          <w:szCs w:val="24"/>
        </w:rPr>
        <w:t xml:space="preserve"> </w:t>
      </w:r>
      <w:r w:rsidR="00CC7BCA" w:rsidRPr="008D3905">
        <w:rPr>
          <w:sz w:val="24"/>
          <w:szCs w:val="24"/>
        </w:rPr>
        <w:t xml:space="preserve">Timeline for Phase 1: July 1, 2020—March 2021). </w:t>
      </w:r>
      <w:r w:rsidR="000E520C" w:rsidRPr="008D3905">
        <w:rPr>
          <w:sz w:val="24"/>
          <w:szCs w:val="24"/>
        </w:rPr>
        <w:br/>
      </w:r>
    </w:p>
    <w:p w:rsidR="0050757C" w:rsidRPr="008D3905" w:rsidRDefault="00CC7BCA" w:rsidP="00DE7072">
      <w:pPr>
        <w:spacing w:after="0" w:line="240" w:lineRule="auto"/>
        <w:textAlignment w:val="center"/>
        <w:rPr>
          <w:i/>
          <w:sz w:val="24"/>
          <w:szCs w:val="24"/>
        </w:rPr>
      </w:pPr>
      <w:r w:rsidRPr="008D3905">
        <w:rPr>
          <w:b/>
          <w:sz w:val="24"/>
          <w:szCs w:val="24"/>
          <w:u w:val="single"/>
        </w:rPr>
        <w:t xml:space="preserve">Phase </w:t>
      </w:r>
      <w:r w:rsidR="008F56F9" w:rsidRPr="008D3905">
        <w:rPr>
          <w:b/>
          <w:sz w:val="24"/>
          <w:szCs w:val="24"/>
          <w:u w:val="single"/>
        </w:rPr>
        <w:t>2: Pilot Tele</w:t>
      </w:r>
      <w:r w:rsidR="00545746" w:rsidRPr="008D3905">
        <w:rPr>
          <w:b/>
          <w:sz w:val="24"/>
          <w:szCs w:val="24"/>
          <w:u w:val="single"/>
        </w:rPr>
        <w:t>health</w:t>
      </w:r>
      <w:r w:rsidR="008F56F9" w:rsidRPr="008D3905">
        <w:rPr>
          <w:b/>
          <w:sz w:val="24"/>
          <w:szCs w:val="24"/>
          <w:u w:val="single"/>
        </w:rPr>
        <w:t xml:space="preserve"> Learning Collaborative:</w:t>
      </w:r>
      <w:r w:rsidR="00441296" w:rsidRPr="008D3905">
        <w:rPr>
          <w:sz w:val="24"/>
          <w:szCs w:val="24"/>
        </w:rPr>
        <w:t xml:space="preserve"> </w:t>
      </w:r>
      <w:r w:rsidRPr="008D3905">
        <w:rPr>
          <w:sz w:val="24"/>
          <w:szCs w:val="24"/>
        </w:rPr>
        <w:t>CTC-RI will select and fund up to seven (7)</w:t>
      </w:r>
      <w:r w:rsidR="004E47B0" w:rsidRPr="008D3905">
        <w:rPr>
          <w:sz w:val="24"/>
          <w:szCs w:val="24"/>
        </w:rPr>
        <w:t>*</w:t>
      </w:r>
      <w:r w:rsidRPr="008D3905">
        <w:rPr>
          <w:sz w:val="24"/>
          <w:szCs w:val="24"/>
        </w:rPr>
        <w:t xml:space="preserve"> primary care practice teams that a</w:t>
      </w:r>
      <w:r w:rsidR="008F56F9" w:rsidRPr="008D3905">
        <w:rPr>
          <w:sz w:val="24"/>
          <w:szCs w:val="24"/>
        </w:rPr>
        <w:t>re part of systems of care and are interested in participating in a 12-month best practice learning collaborative to</w:t>
      </w:r>
      <w:r w:rsidRPr="008D3905">
        <w:rPr>
          <w:sz w:val="24"/>
          <w:szCs w:val="24"/>
        </w:rPr>
        <w:t xml:space="preserve"> test the use of telemedicine services to improve care for patients with a selected chronic condition (i.e. ADHD, hypertension, diabetes, CHF).</w:t>
      </w:r>
      <w:r w:rsidR="000E520C" w:rsidRPr="008D3905">
        <w:rPr>
          <w:sz w:val="24"/>
          <w:szCs w:val="24"/>
        </w:rPr>
        <w:t xml:space="preserve"> </w:t>
      </w:r>
      <w:r w:rsidRPr="008D3905">
        <w:rPr>
          <w:sz w:val="24"/>
          <w:szCs w:val="24"/>
        </w:rPr>
        <w:t xml:space="preserve">Practices would </w:t>
      </w:r>
      <w:r w:rsidR="008F56F9" w:rsidRPr="008D3905">
        <w:rPr>
          <w:sz w:val="24"/>
          <w:szCs w:val="24"/>
        </w:rPr>
        <w:t>be provided with infrastructure and incentive funding payments, practice facilitation technical support and a quarterly best practice sharing learning series.</w:t>
      </w:r>
      <w:r w:rsidR="000E520C" w:rsidRPr="008D3905">
        <w:rPr>
          <w:sz w:val="24"/>
          <w:szCs w:val="24"/>
        </w:rPr>
        <w:t xml:space="preserve"> </w:t>
      </w:r>
      <w:r w:rsidR="008F56F9" w:rsidRPr="008D3905">
        <w:rPr>
          <w:sz w:val="24"/>
          <w:szCs w:val="24"/>
        </w:rPr>
        <w:t>Community health teams would also be eligible to apply. The Planning Committee will assist with the development, implementation and evaluation of the telemedicine pilot program.</w:t>
      </w:r>
      <w:r w:rsidR="000E520C" w:rsidRPr="008D3905">
        <w:rPr>
          <w:sz w:val="24"/>
          <w:szCs w:val="24"/>
        </w:rPr>
        <w:t xml:space="preserve"> </w:t>
      </w:r>
      <w:r w:rsidR="008F56F9" w:rsidRPr="008D3905">
        <w:rPr>
          <w:sz w:val="24"/>
          <w:szCs w:val="24"/>
        </w:rPr>
        <w:t xml:space="preserve">Timeline for Phase 2: November, 2020-December 2021). </w:t>
      </w:r>
    </w:p>
    <w:p w:rsidR="008F56F9" w:rsidRPr="008D3905" w:rsidRDefault="000E520C">
      <w:pPr>
        <w:rPr>
          <w:b/>
          <w:sz w:val="24"/>
          <w:szCs w:val="24"/>
        </w:rPr>
      </w:pPr>
      <w:r w:rsidRPr="008D3905">
        <w:rPr>
          <w:b/>
          <w:sz w:val="24"/>
          <w:szCs w:val="24"/>
        </w:rPr>
        <w:br/>
      </w:r>
      <w:r w:rsidR="008F56F9" w:rsidRPr="008D3905">
        <w:rPr>
          <w:b/>
          <w:sz w:val="24"/>
          <w:szCs w:val="24"/>
        </w:rPr>
        <w:t xml:space="preserve">Timeline: </w:t>
      </w:r>
    </w:p>
    <w:tbl>
      <w:tblPr>
        <w:tblStyle w:val="TableGrid"/>
        <w:tblW w:w="10615" w:type="dxa"/>
        <w:tblLook w:val="04A0" w:firstRow="1" w:lastRow="0" w:firstColumn="1" w:lastColumn="0" w:noHBand="0" w:noVBand="1"/>
      </w:tblPr>
      <w:tblGrid>
        <w:gridCol w:w="4945"/>
        <w:gridCol w:w="2250"/>
        <w:gridCol w:w="3420"/>
      </w:tblGrid>
      <w:tr w:rsidR="008D3905" w:rsidRPr="008D3905" w:rsidTr="00A902DA">
        <w:tc>
          <w:tcPr>
            <w:tcW w:w="4945" w:type="dxa"/>
            <w:shd w:val="clear" w:color="auto" w:fill="DEEAF6" w:themeFill="accent1" w:themeFillTint="33"/>
          </w:tcPr>
          <w:p w:rsidR="00A902DA" w:rsidRPr="008D3905" w:rsidRDefault="00A902DA" w:rsidP="0063578D">
            <w:pPr>
              <w:rPr>
                <w:u w:val="single"/>
              </w:rPr>
            </w:pPr>
            <w:r w:rsidRPr="008D3905">
              <w:rPr>
                <w:u w:val="single"/>
              </w:rPr>
              <w:t xml:space="preserve">Key Area </w:t>
            </w:r>
          </w:p>
        </w:tc>
        <w:tc>
          <w:tcPr>
            <w:tcW w:w="2250" w:type="dxa"/>
            <w:shd w:val="clear" w:color="auto" w:fill="DEEAF6" w:themeFill="accent1" w:themeFillTint="33"/>
          </w:tcPr>
          <w:p w:rsidR="00A902DA" w:rsidRPr="008D3905" w:rsidRDefault="00A902DA" w:rsidP="0063578D">
            <w:pPr>
              <w:rPr>
                <w:u w:val="single"/>
              </w:rPr>
            </w:pPr>
            <w:r w:rsidRPr="008D3905">
              <w:rPr>
                <w:u w:val="single"/>
              </w:rPr>
              <w:t xml:space="preserve">Date </w:t>
            </w:r>
          </w:p>
        </w:tc>
        <w:tc>
          <w:tcPr>
            <w:tcW w:w="3420" w:type="dxa"/>
            <w:shd w:val="clear" w:color="auto" w:fill="DEEAF6" w:themeFill="accent1" w:themeFillTint="33"/>
          </w:tcPr>
          <w:p w:rsidR="00A902DA" w:rsidRPr="008D3905" w:rsidRDefault="00A902DA" w:rsidP="0063578D">
            <w:pPr>
              <w:rPr>
                <w:u w:val="single"/>
              </w:rPr>
            </w:pPr>
            <w:r w:rsidRPr="008D3905">
              <w:rPr>
                <w:u w:val="single"/>
              </w:rPr>
              <w:t xml:space="preserve">Notes </w:t>
            </w:r>
          </w:p>
        </w:tc>
      </w:tr>
      <w:tr w:rsidR="008D3905" w:rsidRPr="008D3905" w:rsidTr="00A902DA">
        <w:tc>
          <w:tcPr>
            <w:tcW w:w="4945" w:type="dxa"/>
          </w:tcPr>
          <w:p w:rsidR="00A902DA" w:rsidRPr="008D3905" w:rsidRDefault="00A902DA" w:rsidP="0063578D">
            <w:r w:rsidRPr="008D3905">
              <w:t xml:space="preserve">Convene Steering Committee </w:t>
            </w:r>
          </w:p>
        </w:tc>
        <w:tc>
          <w:tcPr>
            <w:tcW w:w="2250" w:type="dxa"/>
          </w:tcPr>
          <w:p w:rsidR="00A902DA" w:rsidRPr="008D3905" w:rsidRDefault="00A902DA" w:rsidP="0063578D">
            <w:r w:rsidRPr="008D3905">
              <w:t>July 2, 2020</w:t>
            </w:r>
          </w:p>
        </w:tc>
        <w:tc>
          <w:tcPr>
            <w:tcW w:w="3420" w:type="dxa"/>
          </w:tcPr>
          <w:p w:rsidR="00A902DA" w:rsidRPr="008D3905" w:rsidRDefault="00A902DA" w:rsidP="0063578D">
            <w:r w:rsidRPr="008D3905">
              <w:t>meetings every two weeks</w:t>
            </w:r>
          </w:p>
        </w:tc>
      </w:tr>
      <w:tr w:rsidR="008D3905" w:rsidRPr="008D3905" w:rsidTr="00A902DA">
        <w:tc>
          <w:tcPr>
            <w:tcW w:w="4945" w:type="dxa"/>
          </w:tcPr>
          <w:p w:rsidR="00A902DA" w:rsidRPr="008D3905" w:rsidRDefault="00A902DA" w:rsidP="0063578D">
            <w:r w:rsidRPr="008D3905">
              <w:t>Complete Practice Recruitment Strategy</w:t>
            </w:r>
          </w:p>
        </w:tc>
        <w:tc>
          <w:tcPr>
            <w:tcW w:w="2250" w:type="dxa"/>
          </w:tcPr>
          <w:p w:rsidR="00A902DA" w:rsidRPr="008D3905" w:rsidRDefault="00A902DA" w:rsidP="0063578D">
            <w:r w:rsidRPr="008D3905">
              <w:t xml:space="preserve">July 31, 2020 </w:t>
            </w:r>
          </w:p>
        </w:tc>
        <w:tc>
          <w:tcPr>
            <w:tcW w:w="3420" w:type="dxa"/>
          </w:tcPr>
          <w:p w:rsidR="00A902DA" w:rsidRPr="008D3905" w:rsidRDefault="00A902DA" w:rsidP="0063578D">
            <w:pPr>
              <w:rPr>
                <w:u w:val="single"/>
              </w:rPr>
            </w:pPr>
          </w:p>
        </w:tc>
      </w:tr>
      <w:tr w:rsidR="008D3905" w:rsidRPr="008D3905" w:rsidTr="00A902DA">
        <w:trPr>
          <w:trHeight w:val="179"/>
        </w:trPr>
        <w:tc>
          <w:tcPr>
            <w:tcW w:w="4945" w:type="dxa"/>
          </w:tcPr>
          <w:p w:rsidR="00A902DA" w:rsidRPr="008D3905" w:rsidRDefault="00A902DA" w:rsidP="0063578D">
            <w:r w:rsidRPr="008D3905">
              <w:t xml:space="preserve">Complete Patient Engagement Strategy </w:t>
            </w:r>
          </w:p>
        </w:tc>
        <w:tc>
          <w:tcPr>
            <w:tcW w:w="2250" w:type="dxa"/>
          </w:tcPr>
          <w:p w:rsidR="00A902DA" w:rsidRPr="008D3905" w:rsidRDefault="00A902DA" w:rsidP="0063578D">
            <w:r w:rsidRPr="008D3905">
              <w:t xml:space="preserve">August 19, 2020 </w:t>
            </w:r>
          </w:p>
        </w:tc>
        <w:tc>
          <w:tcPr>
            <w:tcW w:w="3420" w:type="dxa"/>
          </w:tcPr>
          <w:p w:rsidR="00A902DA" w:rsidRPr="008D3905" w:rsidRDefault="00A902DA" w:rsidP="0063578D">
            <w:r w:rsidRPr="008D3905">
              <w:t xml:space="preserve"> </w:t>
            </w:r>
          </w:p>
        </w:tc>
      </w:tr>
      <w:tr w:rsidR="008D3905" w:rsidRPr="008D3905" w:rsidTr="00A902DA">
        <w:tc>
          <w:tcPr>
            <w:tcW w:w="4945" w:type="dxa"/>
          </w:tcPr>
          <w:p w:rsidR="00A902DA" w:rsidRPr="008D3905" w:rsidRDefault="00A902DA" w:rsidP="0063578D">
            <w:r w:rsidRPr="008D3905">
              <w:t xml:space="preserve">Practice Needs Assessment Completed/Pilot </w:t>
            </w:r>
          </w:p>
        </w:tc>
        <w:tc>
          <w:tcPr>
            <w:tcW w:w="2250" w:type="dxa"/>
          </w:tcPr>
          <w:p w:rsidR="00A902DA" w:rsidRPr="008D3905" w:rsidRDefault="00A902DA" w:rsidP="0063578D">
            <w:r w:rsidRPr="008D3905">
              <w:t xml:space="preserve">August 19, 2020 </w:t>
            </w:r>
          </w:p>
        </w:tc>
        <w:tc>
          <w:tcPr>
            <w:tcW w:w="3420" w:type="dxa"/>
          </w:tcPr>
          <w:p w:rsidR="00A902DA" w:rsidRPr="008D3905" w:rsidRDefault="00A902DA" w:rsidP="0063578D">
            <w:pPr>
              <w:rPr>
                <w:u w:val="single"/>
              </w:rPr>
            </w:pPr>
          </w:p>
        </w:tc>
      </w:tr>
      <w:tr w:rsidR="008D3905" w:rsidRPr="008D3905" w:rsidTr="00A902DA">
        <w:tc>
          <w:tcPr>
            <w:tcW w:w="4945" w:type="dxa"/>
          </w:tcPr>
          <w:p w:rsidR="00A902DA" w:rsidRPr="008D3905" w:rsidRDefault="00A902DA" w:rsidP="0063578D">
            <w:r w:rsidRPr="008D3905">
              <w:t xml:space="preserve">Recruit Practices/get signed Participative Agreement </w:t>
            </w:r>
          </w:p>
        </w:tc>
        <w:tc>
          <w:tcPr>
            <w:tcW w:w="2250" w:type="dxa"/>
          </w:tcPr>
          <w:p w:rsidR="00A902DA" w:rsidRPr="008D3905" w:rsidRDefault="00A902DA" w:rsidP="0063578D">
            <w:r w:rsidRPr="008D3905">
              <w:t xml:space="preserve">August 28, 2020 </w:t>
            </w:r>
          </w:p>
        </w:tc>
        <w:tc>
          <w:tcPr>
            <w:tcW w:w="3420" w:type="dxa"/>
          </w:tcPr>
          <w:p w:rsidR="00A902DA" w:rsidRPr="008D3905" w:rsidRDefault="00A902DA" w:rsidP="0063578D">
            <w:pPr>
              <w:rPr>
                <w:u w:val="single"/>
              </w:rPr>
            </w:pPr>
          </w:p>
        </w:tc>
      </w:tr>
      <w:tr w:rsidR="008D3905" w:rsidRPr="008D3905" w:rsidTr="00A902DA">
        <w:tc>
          <w:tcPr>
            <w:tcW w:w="4945" w:type="dxa"/>
          </w:tcPr>
          <w:p w:rsidR="00A902DA" w:rsidRPr="008D3905" w:rsidRDefault="00A902DA" w:rsidP="0063578D">
            <w:r w:rsidRPr="008D3905">
              <w:t xml:space="preserve">Practice Survey completion date </w:t>
            </w:r>
          </w:p>
        </w:tc>
        <w:tc>
          <w:tcPr>
            <w:tcW w:w="2250" w:type="dxa"/>
          </w:tcPr>
          <w:p w:rsidR="00A902DA" w:rsidRPr="008D3905" w:rsidRDefault="00A902DA" w:rsidP="0063578D">
            <w:r w:rsidRPr="008D3905">
              <w:t>September 15,2020</w:t>
            </w:r>
          </w:p>
        </w:tc>
        <w:tc>
          <w:tcPr>
            <w:tcW w:w="3420" w:type="dxa"/>
          </w:tcPr>
          <w:p w:rsidR="00A902DA" w:rsidRPr="008D3905" w:rsidRDefault="00A902DA" w:rsidP="0063578D">
            <w:pPr>
              <w:rPr>
                <w:u w:val="single"/>
              </w:rPr>
            </w:pPr>
          </w:p>
        </w:tc>
      </w:tr>
      <w:tr w:rsidR="008D3905" w:rsidRPr="008D3905" w:rsidTr="00A902DA">
        <w:tc>
          <w:tcPr>
            <w:tcW w:w="4945" w:type="dxa"/>
          </w:tcPr>
          <w:p w:rsidR="00A902DA" w:rsidRPr="008D3905" w:rsidRDefault="00A902DA" w:rsidP="0063578D">
            <w:r w:rsidRPr="008D3905">
              <w:t xml:space="preserve">Patient Survey completion date </w:t>
            </w:r>
          </w:p>
          <w:p w:rsidR="00A902DA" w:rsidRPr="008D3905" w:rsidRDefault="00A902DA" w:rsidP="0063578D">
            <w:r w:rsidRPr="008D3905">
              <w:t xml:space="preserve">Payment to practices </w:t>
            </w:r>
          </w:p>
        </w:tc>
        <w:tc>
          <w:tcPr>
            <w:tcW w:w="2250" w:type="dxa"/>
          </w:tcPr>
          <w:p w:rsidR="00A902DA" w:rsidRPr="008D3905" w:rsidRDefault="00A902DA" w:rsidP="0063578D">
            <w:r w:rsidRPr="008D3905">
              <w:t>September 18,2020</w:t>
            </w:r>
          </w:p>
          <w:p w:rsidR="00A902DA" w:rsidRPr="008D3905" w:rsidRDefault="00A902DA" w:rsidP="0063578D">
            <w:r w:rsidRPr="008D3905">
              <w:t xml:space="preserve">September  21, 2020 </w:t>
            </w:r>
          </w:p>
        </w:tc>
        <w:tc>
          <w:tcPr>
            <w:tcW w:w="3420" w:type="dxa"/>
          </w:tcPr>
          <w:p w:rsidR="00A902DA" w:rsidRPr="008D3905" w:rsidRDefault="00A902DA" w:rsidP="0063578D">
            <w:pPr>
              <w:rPr>
                <w:u w:val="single"/>
              </w:rPr>
            </w:pPr>
          </w:p>
        </w:tc>
      </w:tr>
      <w:tr w:rsidR="008D3905" w:rsidRPr="008D3905" w:rsidTr="00A902DA">
        <w:tc>
          <w:tcPr>
            <w:tcW w:w="4945" w:type="dxa"/>
          </w:tcPr>
          <w:p w:rsidR="00A902DA" w:rsidRPr="008D3905" w:rsidRDefault="00A902DA" w:rsidP="0063578D">
            <w:r w:rsidRPr="008D3905">
              <w:t xml:space="preserve">Planning for Webinar series </w:t>
            </w:r>
          </w:p>
          <w:p w:rsidR="00A902DA" w:rsidRPr="008D3905" w:rsidRDefault="00A902DA" w:rsidP="0063578D"/>
        </w:tc>
        <w:tc>
          <w:tcPr>
            <w:tcW w:w="2250" w:type="dxa"/>
          </w:tcPr>
          <w:p w:rsidR="00A902DA" w:rsidRPr="008D3905" w:rsidRDefault="00A902DA" w:rsidP="00A902DA">
            <w:r w:rsidRPr="008D3905">
              <w:t xml:space="preserve">Start Webinar Series by end of Oct. 2020 </w:t>
            </w:r>
          </w:p>
        </w:tc>
        <w:tc>
          <w:tcPr>
            <w:tcW w:w="3420" w:type="dxa"/>
          </w:tcPr>
          <w:p w:rsidR="00A902DA" w:rsidRPr="008D3905" w:rsidRDefault="00A902DA" w:rsidP="00A902DA">
            <w:pPr>
              <w:rPr>
                <w:u w:val="single"/>
              </w:rPr>
            </w:pPr>
            <w:r w:rsidRPr="008D3905">
              <w:t>Finalizes Webinar schedule w/ programs held over 6-months</w:t>
            </w:r>
          </w:p>
        </w:tc>
      </w:tr>
    </w:tbl>
    <w:p w:rsidR="00564548" w:rsidRDefault="00564548" w:rsidP="00A24407">
      <w:pPr>
        <w:rPr>
          <w:b/>
          <w:sz w:val="24"/>
          <w:szCs w:val="24"/>
        </w:rPr>
      </w:pPr>
    </w:p>
    <w:p w:rsidR="00A24407" w:rsidRDefault="00A24407" w:rsidP="00A24407">
      <w:pPr>
        <w:rPr>
          <w:rStyle w:val="Hyperlink"/>
          <w:rFonts w:ascii="Helvetica" w:hAnsi="Helvetica" w:cs="Helvetica"/>
          <w:color w:val="1A73E8"/>
          <w:sz w:val="20"/>
          <w:szCs w:val="20"/>
          <w:shd w:val="clear" w:color="auto" w:fill="FFFFFF"/>
        </w:rPr>
      </w:pPr>
      <w:r w:rsidRPr="00A24407">
        <w:rPr>
          <w:sz w:val="24"/>
          <w:szCs w:val="24"/>
        </w:rPr>
        <w:t xml:space="preserve">If you have any questions, please contact </w:t>
      </w:r>
      <w:r>
        <w:rPr>
          <w:sz w:val="24"/>
          <w:szCs w:val="24"/>
        </w:rPr>
        <w:t xml:space="preserve">Jazmine Mercado, Program Coordinator, CTC-RI, at </w:t>
      </w:r>
      <w:hyperlink r:id="rId8" w:tgtFrame="_blank" w:history="1">
        <w:r>
          <w:rPr>
            <w:rStyle w:val="Hyperlink"/>
            <w:rFonts w:ascii="Helvetica" w:hAnsi="Helvetica" w:cs="Helvetica"/>
            <w:color w:val="1A73E8"/>
            <w:sz w:val="20"/>
            <w:szCs w:val="20"/>
            <w:shd w:val="clear" w:color="auto" w:fill="FFFFFF"/>
          </w:rPr>
          <w:t>jmercado@ctc-ri.org</w:t>
        </w:r>
      </w:hyperlink>
    </w:p>
    <w:p w:rsidR="00943AAB" w:rsidRDefault="00943AAB" w:rsidP="00A24407">
      <w:pPr>
        <w:rPr>
          <w:rStyle w:val="Hyperlink"/>
          <w:rFonts w:ascii="Helvetica" w:hAnsi="Helvetica" w:cs="Helvetica"/>
          <w:color w:val="1A73E8"/>
          <w:sz w:val="20"/>
          <w:szCs w:val="20"/>
          <w:shd w:val="clear" w:color="auto" w:fill="FFFFFF"/>
        </w:rPr>
      </w:pPr>
    </w:p>
    <w:p w:rsidR="00DB02BB" w:rsidRPr="00AB7CC0" w:rsidRDefault="00DB02BB" w:rsidP="00DB02BB">
      <w:pPr>
        <w:jc w:val="center"/>
        <w:rPr>
          <w:b/>
          <w:sz w:val="24"/>
          <w:szCs w:val="24"/>
        </w:rPr>
      </w:pPr>
      <w:r w:rsidRPr="00AB7CC0">
        <w:rPr>
          <w:b/>
          <w:sz w:val="24"/>
          <w:szCs w:val="24"/>
        </w:rPr>
        <w:lastRenderedPageBreak/>
        <w:t>Care Transformation Collaborative of RI/PCMH Kids</w:t>
      </w:r>
      <w:r>
        <w:rPr>
          <w:b/>
          <w:sz w:val="24"/>
          <w:szCs w:val="24"/>
        </w:rPr>
        <w:t xml:space="preserve"> (CTC-RI/PCMH KIDS)</w:t>
      </w:r>
      <w:r w:rsidRPr="00AB7CC0">
        <w:rPr>
          <w:b/>
          <w:sz w:val="24"/>
          <w:szCs w:val="24"/>
        </w:rPr>
        <w:t xml:space="preserve"> </w:t>
      </w:r>
    </w:p>
    <w:p w:rsidR="00DB02BB" w:rsidRPr="00AB7CC0" w:rsidRDefault="00DB02BB" w:rsidP="00DB02BB">
      <w:pPr>
        <w:jc w:val="center"/>
        <w:rPr>
          <w:b/>
          <w:sz w:val="24"/>
          <w:szCs w:val="24"/>
        </w:rPr>
      </w:pPr>
      <w:r w:rsidRPr="00AB7CC0">
        <w:rPr>
          <w:b/>
          <w:sz w:val="24"/>
          <w:szCs w:val="24"/>
        </w:rPr>
        <w:t xml:space="preserve">UnitedHealthcare Telehealth Project – </w:t>
      </w:r>
      <w:r>
        <w:rPr>
          <w:b/>
          <w:sz w:val="24"/>
          <w:szCs w:val="24"/>
        </w:rPr>
        <w:t xml:space="preserve">Practice </w:t>
      </w:r>
      <w:r w:rsidRPr="00AB7CC0">
        <w:rPr>
          <w:b/>
          <w:sz w:val="24"/>
          <w:szCs w:val="24"/>
        </w:rPr>
        <w:t xml:space="preserve">Information Sheet </w:t>
      </w:r>
    </w:p>
    <w:p w:rsidR="00DB02BB" w:rsidRPr="00AB7CC0" w:rsidRDefault="00DB02BB" w:rsidP="00DB02BB">
      <w:r w:rsidRPr="00AB7CC0">
        <w:t xml:space="preserve">UnitedHealthcare (UHC) has provided funding to CTC-RI /PCMH Kids implement a Primary Care Telehealth Project.  </w:t>
      </w:r>
    </w:p>
    <w:p w:rsidR="00DB02BB" w:rsidRPr="00AB7CC0" w:rsidRDefault="00DB02BB" w:rsidP="00DB02BB">
      <w:r w:rsidRPr="00AB7CC0">
        <w:rPr>
          <w:u w:val="single"/>
        </w:rPr>
        <w:t>Phase 1</w:t>
      </w:r>
      <w:r w:rsidRPr="00AB7CC0">
        <w:t xml:space="preserve"> of the project offers financial support for approximately 50 adult and pediatric primary care practices who complete all the surveys listed below.</w:t>
      </w:r>
    </w:p>
    <w:p w:rsidR="00DB02BB" w:rsidRPr="00AB7CC0" w:rsidRDefault="00DB02BB" w:rsidP="00DB02BB">
      <w:r w:rsidRPr="00AB7CC0">
        <w:rPr>
          <w:u w:val="single"/>
        </w:rPr>
        <w:t>Benefit:</w:t>
      </w:r>
      <w:r w:rsidRPr="00AB7CC0">
        <w:t xml:space="preserve">  $2,000 incentive for each practice site who signs a </w:t>
      </w:r>
      <w:r w:rsidRPr="00AB7CC0">
        <w:rPr>
          <w:u w:val="single"/>
        </w:rPr>
        <w:t>Participative Agreement</w:t>
      </w:r>
      <w:r w:rsidRPr="00AB7CC0">
        <w:t xml:space="preserve"> and completes the following:</w:t>
      </w:r>
    </w:p>
    <w:p w:rsidR="00DB02BB" w:rsidRPr="00AB7CC0" w:rsidRDefault="00DB02BB" w:rsidP="00DB02BB">
      <w:pPr>
        <w:pStyle w:val="ListParagraph"/>
        <w:numPr>
          <w:ilvl w:val="0"/>
          <w:numId w:val="9"/>
        </w:numPr>
        <w:spacing w:after="0" w:line="240" w:lineRule="auto"/>
        <w:textAlignment w:val="center"/>
      </w:pPr>
      <w:r w:rsidRPr="00AB7CC0">
        <w:rPr>
          <w:b/>
        </w:rPr>
        <w:t>Practice Needs Assessment</w:t>
      </w:r>
      <w:r w:rsidRPr="00AB7CC0">
        <w:t xml:space="preserve"> (practice to use a team approach to complete this survey) </w:t>
      </w:r>
    </w:p>
    <w:p w:rsidR="00DB02BB" w:rsidRPr="00AB7CC0" w:rsidRDefault="00DB02BB" w:rsidP="00DB02BB">
      <w:pPr>
        <w:pStyle w:val="ListParagraph"/>
        <w:numPr>
          <w:ilvl w:val="1"/>
          <w:numId w:val="9"/>
        </w:numPr>
        <w:spacing w:after="0" w:line="240" w:lineRule="auto"/>
        <w:textAlignment w:val="center"/>
      </w:pPr>
      <w:r w:rsidRPr="00AB7CC0">
        <w:t xml:space="preserve">This assessment will request practice feedback via survey monkey on: telehealth operational policies, patient/staff experiences, services offered, integration with in-person visits, financial impacts, technology requirements, use of remote patient monitoring and identification of health equity, access to care, and community solutions. </w:t>
      </w:r>
    </w:p>
    <w:p w:rsidR="00DB02BB" w:rsidRPr="00AB7CC0" w:rsidRDefault="00DB02BB" w:rsidP="00DB02BB">
      <w:pPr>
        <w:pStyle w:val="ListParagraph"/>
        <w:numPr>
          <w:ilvl w:val="0"/>
          <w:numId w:val="9"/>
        </w:numPr>
        <w:spacing w:after="0" w:line="240" w:lineRule="auto"/>
        <w:textAlignment w:val="center"/>
      </w:pPr>
      <w:r w:rsidRPr="00AB7CC0">
        <w:rPr>
          <w:b/>
        </w:rPr>
        <w:t>Patient Engagement Surveys</w:t>
      </w:r>
      <w:r w:rsidRPr="00AB7CC0">
        <w:t xml:space="preserve"> </w:t>
      </w:r>
    </w:p>
    <w:p w:rsidR="00DB02BB" w:rsidRPr="00AB7CC0" w:rsidRDefault="00DB02BB" w:rsidP="00DB02BB">
      <w:pPr>
        <w:pStyle w:val="ListParagraph"/>
        <w:numPr>
          <w:ilvl w:val="1"/>
          <w:numId w:val="9"/>
        </w:numPr>
        <w:spacing w:after="0" w:line="240" w:lineRule="auto"/>
        <w:textAlignment w:val="center"/>
      </w:pPr>
      <w:r w:rsidRPr="00AB7CC0">
        <w:t xml:space="preserve">Practice will obtain patient experience information from at least </w:t>
      </w:r>
      <w:r w:rsidRPr="00AB7CC0">
        <w:rPr>
          <w:b/>
        </w:rPr>
        <w:t>five</w:t>
      </w:r>
      <w:r w:rsidRPr="00AB7CC0">
        <w:t xml:space="preserve"> patients using telehealth and form at least </w:t>
      </w:r>
      <w:r w:rsidRPr="00AB7CC0">
        <w:rPr>
          <w:b/>
        </w:rPr>
        <w:t xml:space="preserve">five </w:t>
      </w:r>
      <w:r w:rsidRPr="00AB7CC0">
        <w:t xml:space="preserve">patients not using telehealth; Surveys will help inform practice and this initiative on barriers/needs/solutions.   Surveys will be available in English and Spanish </w:t>
      </w:r>
    </w:p>
    <w:p w:rsidR="00DB02BB" w:rsidRPr="00AB7CC0" w:rsidRDefault="00DB02BB" w:rsidP="00DB02BB">
      <w:pPr>
        <w:pStyle w:val="ListParagraph"/>
        <w:numPr>
          <w:ilvl w:val="1"/>
          <w:numId w:val="9"/>
        </w:numPr>
        <w:spacing w:after="0" w:line="240" w:lineRule="auto"/>
        <w:textAlignment w:val="center"/>
      </w:pPr>
      <w:r w:rsidRPr="00AB7CC0">
        <w:t>Adult practices target at least 50% of patients &gt; 65 yrs., and include low-socioeconomic status (SES) households</w:t>
      </w:r>
    </w:p>
    <w:p w:rsidR="00DB02BB" w:rsidRPr="00AB7CC0" w:rsidRDefault="00DB02BB" w:rsidP="00DB02BB">
      <w:pPr>
        <w:pStyle w:val="ListParagraph"/>
        <w:numPr>
          <w:ilvl w:val="1"/>
          <w:numId w:val="9"/>
        </w:numPr>
        <w:spacing w:after="0" w:line="240" w:lineRule="auto"/>
        <w:textAlignment w:val="center"/>
      </w:pPr>
      <w:r w:rsidRPr="00AB7CC0">
        <w:t>Practice determines the best way to gather patient data (via email of Survey Monkey link, USPS, taken by staff telephonically) and practice site would be responsible for entering/submitting the patient survey responses into Survey Monkey platform.</w:t>
      </w:r>
    </w:p>
    <w:p w:rsidR="00DB02BB" w:rsidRPr="00AB7CC0" w:rsidRDefault="00DB02BB" w:rsidP="00DB02BB">
      <w:pPr>
        <w:pStyle w:val="NoSpacing"/>
      </w:pPr>
      <w:r w:rsidRPr="00AB7CC0">
        <w:rPr>
          <w:b/>
        </w:rPr>
        <w:t xml:space="preserve"> Goal</w:t>
      </w:r>
      <w:r w:rsidRPr="00AB7CC0">
        <w:t xml:space="preserve"> of these surveys is to gather information</w:t>
      </w:r>
      <w:r>
        <w:t xml:space="preserve"> to</w:t>
      </w:r>
      <w:r w:rsidRPr="00AB7CC0">
        <w:t>:</w:t>
      </w:r>
    </w:p>
    <w:p w:rsidR="00DB02BB" w:rsidRPr="00AB7CC0" w:rsidRDefault="00DB02BB" w:rsidP="00DB02BB">
      <w:pPr>
        <w:pStyle w:val="NoSpacing"/>
        <w:numPr>
          <w:ilvl w:val="0"/>
          <w:numId w:val="10"/>
        </w:numPr>
      </w:pPr>
      <w:r>
        <w:t>D</w:t>
      </w:r>
      <w:r w:rsidRPr="00AB7CC0">
        <w:t>esign and offer a 6-month educational webinar series on telehealth that will address the specific needs of RI primary care practices;</w:t>
      </w:r>
    </w:p>
    <w:p w:rsidR="00DB02BB" w:rsidRPr="00AB7CC0" w:rsidRDefault="00DB02BB" w:rsidP="00DB02BB">
      <w:pPr>
        <w:pStyle w:val="NoSpacing"/>
        <w:numPr>
          <w:ilvl w:val="0"/>
          <w:numId w:val="10"/>
        </w:numPr>
      </w:pPr>
      <w:r>
        <w:t>D</w:t>
      </w:r>
      <w:r w:rsidRPr="00AB7CC0">
        <w:t>esign a 12 month learning collaborative for primary care practices that are interested in using telehealth to assist patients with managing chronic health conditions;</w:t>
      </w:r>
    </w:p>
    <w:p w:rsidR="00DB02BB" w:rsidRDefault="00DB02BB" w:rsidP="00DB02BB">
      <w:pPr>
        <w:pStyle w:val="NoSpacing"/>
        <w:numPr>
          <w:ilvl w:val="0"/>
          <w:numId w:val="10"/>
        </w:numPr>
      </w:pPr>
      <w:r>
        <w:t>Hel</w:t>
      </w:r>
      <w:r w:rsidRPr="00AB7CC0">
        <w:t xml:space="preserve">p inform RI health care policy on primary care practice/patient telehealth needs. </w:t>
      </w:r>
    </w:p>
    <w:p w:rsidR="00DB02BB" w:rsidRPr="00AB7CC0" w:rsidRDefault="00DB02BB" w:rsidP="00DB02BB">
      <w:pPr>
        <w:pStyle w:val="NoSpacing"/>
        <w:ind w:left="410"/>
      </w:pPr>
    </w:p>
    <w:tbl>
      <w:tblPr>
        <w:tblStyle w:val="TableGrid"/>
        <w:tblW w:w="10800" w:type="dxa"/>
        <w:tblInd w:w="-365" w:type="dxa"/>
        <w:tblLook w:val="04A0" w:firstRow="1" w:lastRow="0" w:firstColumn="1" w:lastColumn="0" w:noHBand="0" w:noVBand="1"/>
      </w:tblPr>
      <w:tblGrid>
        <w:gridCol w:w="6300"/>
        <w:gridCol w:w="4500"/>
      </w:tblGrid>
      <w:tr w:rsidR="00DB02BB" w:rsidRPr="00AB7CC0" w:rsidTr="00F15B17">
        <w:tc>
          <w:tcPr>
            <w:tcW w:w="10800" w:type="dxa"/>
            <w:gridSpan w:val="2"/>
            <w:shd w:val="clear" w:color="auto" w:fill="DEEAF6" w:themeFill="accent1" w:themeFillTint="33"/>
          </w:tcPr>
          <w:p w:rsidR="00DB02BB" w:rsidRPr="00AB7CC0" w:rsidRDefault="00DB02BB" w:rsidP="00F15B17">
            <w:pPr>
              <w:jc w:val="center"/>
              <w:rPr>
                <w:b/>
              </w:rPr>
            </w:pPr>
            <w:r w:rsidRPr="00AB7CC0">
              <w:rPr>
                <w:b/>
              </w:rPr>
              <w:t>Timeline</w:t>
            </w:r>
          </w:p>
        </w:tc>
      </w:tr>
      <w:tr w:rsidR="00DB02BB" w:rsidRPr="00AB7CC0" w:rsidTr="00F15B17">
        <w:tc>
          <w:tcPr>
            <w:tcW w:w="6300" w:type="dxa"/>
            <w:shd w:val="clear" w:color="auto" w:fill="DEEAF6" w:themeFill="accent1" w:themeFillTint="33"/>
          </w:tcPr>
          <w:p w:rsidR="00DB02BB" w:rsidRPr="00AB7CC0" w:rsidRDefault="00DB02BB" w:rsidP="00F15B17">
            <w:pPr>
              <w:rPr>
                <w:u w:val="single"/>
              </w:rPr>
            </w:pPr>
            <w:r w:rsidRPr="00AB7CC0">
              <w:rPr>
                <w:u w:val="single"/>
              </w:rPr>
              <w:t xml:space="preserve">Key Area </w:t>
            </w:r>
          </w:p>
        </w:tc>
        <w:tc>
          <w:tcPr>
            <w:tcW w:w="4500" w:type="dxa"/>
            <w:shd w:val="clear" w:color="auto" w:fill="DEEAF6" w:themeFill="accent1" w:themeFillTint="33"/>
          </w:tcPr>
          <w:p w:rsidR="00DB02BB" w:rsidRPr="00AB7CC0" w:rsidRDefault="00DB02BB" w:rsidP="00F15B17">
            <w:pPr>
              <w:rPr>
                <w:u w:val="single"/>
              </w:rPr>
            </w:pPr>
            <w:r w:rsidRPr="00AB7CC0">
              <w:rPr>
                <w:u w:val="single"/>
              </w:rPr>
              <w:t xml:space="preserve">Date </w:t>
            </w:r>
          </w:p>
        </w:tc>
      </w:tr>
      <w:tr w:rsidR="00DB02BB" w:rsidRPr="00AB7CC0" w:rsidTr="00F15B17">
        <w:tc>
          <w:tcPr>
            <w:tcW w:w="6300" w:type="dxa"/>
          </w:tcPr>
          <w:p w:rsidR="00DB02BB" w:rsidRPr="00AB7CC0" w:rsidRDefault="00DB02BB" w:rsidP="00F15B17">
            <w:r w:rsidRPr="00AB7CC0">
              <w:t xml:space="preserve">Practice returns signed Participative Agreement </w:t>
            </w:r>
            <w:r>
              <w:t>and W-9</w:t>
            </w:r>
          </w:p>
        </w:tc>
        <w:tc>
          <w:tcPr>
            <w:tcW w:w="4500" w:type="dxa"/>
          </w:tcPr>
          <w:p w:rsidR="00DB02BB" w:rsidRPr="00AB7CC0" w:rsidRDefault="00DB02BB" w:rsidP="00F15B17">
            <w:r w:rsidRPr="00AB7CC0">
              <w:t xml:space="preserve">August 28, 2020 </w:t>
            </w:r>
          </w:p>
        </w:tc>
      </w:tr>
      <w:tr w:rsidR="00DB02BB" w:rsidRPr="00AB7CC0" w:rsidTr="00F15B17">
        <w:tc>
          <w:tcPr>
            <w:tcW w:w="6300" w:type="dxa"/>
          </w:tcPr>
          <w:p w:rsidR="00DB02BB" w:rsidRPr="00AB7CC0" w:rsidRDefault="00DB02BB" w:rsidP="00F15B17">
            <w:r w:rsidRPr="00AB7CC0">
              <w:t xml:space="preserve">Practice Survey - completion date </w:t>
            </w:r>
          </w:p>
        </w:tc>
        <w:tc>
          <w:tcPr>
            <w:tcW w:w="4500" w:type="dxa"/>
          </w:tcPr>
          <w:p w:rsidR="00DB02BB" w:rsidRPr="00AB7CC0" w:rsidRDefault="00DB02BB" w:rsidP="00F15B17">
            <w:r w:rsidRPr="00AB7CC0">
              <w:t>September 15,2020</w:t>
            </w:r>
          </w:p>
        </w:tc>
      </w:tr>
      <w:tr w:rsidR="00DB02BB" w:rsidRPr="00AB7CC0" w:rsidTr="00F15B17">
        <w:tc>
          <w:tcPr>
            <w:tcW w:w="6300" w:type="dxa"/>
          </w:tcPr>
          <w:p w:rsidR="00DB02BB" w:rsidRPr="00AB7CC0" w:rsidRDefault="00DB02BB" w:rsidP="00F15B17">
            <w:r w:rsidRPr="00AB7CC0">
              <w:t xml:space="preserve">Patient Surveys -  completion date </w:t>
            </w:r>
          </w:p>
        </w:tc>
        <w:tc>
          <w:tcPr>
            <w:tcW w:w="4500" w:type="dxa"/>
          </w:tcPr>
          <w:p w:rsidR="00DB02BB" w:rsidRPr="00AB7CC0" w:rsidRDefault="00DB02BB" w:rsidP="00F15B17">
            <w:r w:rsidRPr="00AB7CC0">
              <w:t>September 18,2020</w:t>
            </w:r>
          </w:p>
        </w:tc>
      </w:tr>
      <w:tr w:rsidR="00DB02BB" w:rsidRPr="00AB7CC0" w:rsidTr="00F15B17">
        <w:tc>
          <w:tcPr>
            <w:tcW w:w="6300" w:type="dxa"/>
          </w:tcPr>
          <w:p w:rsidR="00DB02BB" w:rsidRPr="00AB7CC0" w:rsidRDefault="00DB02BB" w:rsidP="00F15B17">
            <w:r w:rsidRPr="00AB7CC0">
              <w:t>Payment to practices</w:t>
            </w:r>
          </w:p>
        </w:tc>
        <w:tc>
          <w:tcPr>
            <w:tcW w:w="4500" w:type="dxa"/>
          </w:tcPr>
          <w:p w:rsidR="00DB02BB" w:rsidRPr="00AB7CC0" w:rsidRDefault="00DB02BB" w:rsidP="00F15B17">
            <w:r w:rsidRPr="00AB7CC0">
              <w:t>By end of September</w:t>
            </w:r>
          </w:p>
        </w:tc>
      </w:tr>
      <w:tr w:rsidR="00DB02BB" w:rsidRPr="00AB7CC0" w:rsidTr="00F15B17">
        <w:tc>
          <w:tcPr>
            <w:tcW w:w="6300" w:type="dxa"/>
          </w:tcPr>
          <w:p w:rsidR="00DB02BB" w:rsidRPr="00AB7CC0" w:rsidRDefault="00DB02BB" w:rsidP="00F15B17">
            <w:r w:rsidRPr="00AB7CC0">
              <w:t xml:space="preserve">Telehealth Webinar Series – 6 months, once a month sessions </w:t>
            </w:r>
          </w:p>
        </w:tc>
        <w:tc>
          <w:tcPr>
            <w:tcW w:w="4500" w:type="dxa"/>
          </w:tcPr>
          <w:p w:rsidR="00DB02BB" w:rsidRPr="00AB7CC0" w:rsidRDefault="00DB02BB" w:rsidP="00F15B17">
            <w:r w:rsidRPr="00AB7CC0">
              <w:t xml:space="preserve">Start Webinar Series by end of Oct. 2020 </w:t>
            </w:r>
          </w:p>
        </w:tc>
      </w:tr>
    </w:tbl>
    <w:p w:rsidR="00DB02BB" w:rsidRPr="00AB7CC0" w:rsidRDefault="00DB02BB" w:rsidP="00DB02BB">
      <w:pPr>
        <w:jc w:val="center"/>
        <w:rPr>
          <w:b/>
        </w:rPr>
      </w:pPr>
      <w:r w:rsidRPr="00AB7CC0">
        <w:t>The webinar series will be open to all healthcare practices in Rhode Island.</w:t>
      </w:r>
    </w:p>
    <w:p w:rsidR="00DB02BB" w:rsidRPr="009B7503" w:rsidRDefault="00DB02BB" w:rsidP="00DB02BB">
      <w:r w:rsidRPr="00235A2C">
        <w:t xml:space="preserve">Practices interested in participating in the Telehealth Initiative are asked to respond by </w:t>
      </w:r>
      <w:r w:rsidRPr="00235A2C">
        <w:rPr>
          <w:b/>
        </w:rPr>
        <w:t>August 20, 2020.</w:t>
      </w:r>
      <w:r w:rsidRPr="00235A2C">
        <w:t xml:space="preserve"> </w:t>
      </w:r>
      <w:r>
        <w:t xml:space="preserve">To </w:t>
      </w:r>
      <w:r w:rsidRPr="00235A2C">
        <w:t xml:space="preserve">enroll, or if you have questions, please reach out to Jazmine Mercado, Program Coordinator, CTC-RI, at </w:t>
      </w:r>
      <w:hyperlink r:id="rId9" w:tgtFrame="_blank" w:history="1">
        <w:r w:rsidRPr="009B7503">
          <w:t>jmercado@ctc-ri.org</w:t>
        </w:r>
      </w:hyperlink>
      <w:r>
        <w:t>.</w:t>
      </w:r>
    </w:p>
    <w:p w:rsidR="00943AAB" w:rsidRPr="00A24407" w:rsidRDefault="00943AAB" w:rsidP="00A24407">
      <w:pPr>
        <w:rPr>
          <w:sz w:val="24"/>
          <w:szCs w:val="24"/>
        </w:rPr>
      </w:pPr>
    </w:p>
    <w:sectPr w:rsidR="00943AAB" w:rsidRPr="00A24407" w:rsidSect="00470B9F">
      <w:headerReference w:type="default" r:id="rId10"/>
      <w:footerReference w:type="default" r:id="rId11"/>
      <w:head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1F7" w:rsidRDefault="003811F7" w:rsidP="00205457">
      <w:pPr>
        <w:spacing w:after="0" w:line="240" w:lineRule="auto"/>
      </w:pPr>
      <w:r>
        <w:separator/>
      </w:r>
    </w:p>
  </w:endnote>
  <w:endnote w:type="continuationSeparator" w:id="0">
    <w:p w:rsidR="003811F7" w:rsidRDefault="003811F7" w:rsidP="0020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190749"/>
      <w:docPartObj>
        <w:docPartGallery w:val="Page Numbers (Bottom of Page)"/>
        <w:docPartUnique/>
      </w:docPartObj>
    </w:sdtPr>
    <w:sdtEndPr>
      <w:rPr>
        <w:noProof/>
      </w:rPr>
    </w:sdtEndPr>
    <w:sdtContent>
      <w:p w:rsidR="00205457" w:rsidRDefault="00205457">
        <w:pPr>
          <w:pStyle w:val="Footer"/>
          <w:jc w:val="right"/>
        </w:pPr>
        <w:r>
          <w:fldChar w:fldCharType="begin"/>
        </w:r>
        <w:r>
          <w:instrText xml:space="preserve"> PAGE   \* MERGEFORMAT </w:instrText>
        </w:r>
        <w:r>
          <w:fldChar w:fldCharType="separate"/>
        </w:r>
        <w:r w:rsidR="00741B97">
          <w:rPr>
            <w:noProof/>
          </w:rPr>
          <w:t>3</w:t>
        </w:r>
        <w:r>
          <w:rPr>
            <w:noProof/>
          </w:rPr>
          <w:fldChar w:fldCharType="end"/>
        </w:r>
      </w:p>
    </w:sdtContent>
  </w:sdt>
  <w:p w:rsidR="00205457" w:rsidRDefault="002054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1F7" w:rsidRDefault="003811F7" w:rsidP="00205457">
      <w:pPr>
        <w:spacing w:after="0" w:line="240" w:lineRule="auto"/>
      </w:pPr>
      <w:r>
        <w:separator/>
      </w:r>
    </w:p>
  </w:footnote>
  <w:footnote w:type="continuationSeparator" w:id="0">
    <w:p w:rsidR="003811F7" w:rsidRDefault="003811F7" w:rsidP="00205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0C" w:rsidRDefault="000E520C" w:rsidP="000E520C">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0C" w:rsidRDefault="000E520C" w:rsidP="000E520C">
    <w:pPr>
      <w:pStyle w:val="Header"/>
      <w:jc w:val="center"/>
    </w:pPr>
    <w:r w:rsidRPr="000E520C">
      <w:rPr>
        <w:noProof/>
      </w:rPr>
      <w:drawing>
        <wp:inline distT="0" distB="0" distL="0" distR="0">
          <wp:extent cx="2576946" cy="720193"/>
          <wp:effectExtent l="0" t="0" r="0" b="3810"/>
          <wp:docPr id="3" name="Picture 3" descr="C:\Users\jcapewell\Desktop\CTC_PCMH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apewell\Desktop\CTC_PCMH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198" cy="7283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79E"/>
    <w:multiLevelType w:val="hybridMultilevel"/>
    <w:tmpl w:val="77FEC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CB2BC5"/>
    <w:multiLevelType w:val="multilevel"/>
    <w:tmpl w:val="CE1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52AFB"/>
    <w:multiLevelType w:val="hybridMultilevel"/>
    <w:tmpl w:val="C3A6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724C4"/>
    <w:multiLevelType w:val="hybridMultilevel"/>
    <w:tmpl w:val="9C80569C"/>
    <w:lvl w:ilvl="0" w:tplc="66D21AFC">
      <w:start w:val="1"/>
      <w:numFmt w:val="decimal"/>
      <w:lvlText w:val="%1."/>
      <w:lvlJc w:val="left"/>
      <w:pPr>
        <w:ind w:left="410" w:hanging="360"/>
      </w:pPr>
      <w:rPr>
        <w:rFonts w:hint="default"/>
        <w:sz w:val="24"/>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 w15:restartNumberingAfterBreak="0">
    <w:nsid w:val="18D134B7"/>
    <w:multiLevelType w:val="hybridMultilevel"/>
    <w:tmpl w:val="289EA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286855"/>
    <w:multiLevelType w:val="hybridMultilevel"/>
    <w:tmpl w:val="DCB00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B8433B"/>
    <w:multiLevelType w:val="hybridMultilevel"/>
    <w:tmpl w:val="8A1AA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2259BF"/>
    <w:multiLevelType w:val="multilevel"/>
    <w:tmpl w:val="586A4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ED39A7"/>
    <w:multiLevelType w:val="hybridMultilevel"/>
    <w:tmpl w:val="0FBE530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BE0171"/>
    <w:multiLevelType w:val="multilevel"/>
    <w:tmpl w:val="0F44FB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2"/>
  </w:num>
  <w:num w:numId="3">
    <w:abstractNumId w:val="9"/>
    <w:lvlOverride w:ilvl="0">
      <w:startOverride w:val="1"/>
    </w:lvlOverride>
  </w:num>
  <w:num w:numId="4">
    <w:abstractNumId w:val="1"/>
  </w:num>
  <w:num w:numId="5">
    <w:abstractNumId w:val="4"/>
  </w:num>
  <w:num w:numId="6">
    <w:abstractNumId w:val="0"/>
  </w:num>
  <w:num w:numId="7">
    <w:abstractNumId w:val="6"/>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71"/>
    <w:rsid w:val="0003498C"/>
    <w:rsid w:val="000C33B8"/>
    <w:rsid w:val="000C4EB4"/>
    <w:rsid w:val="000E0509"/>
    <w:rsid w:val="000E197E"/>
    <w:rsid w:val="000E41F0"/>
    <w:rsid w:val="000E520C"/>
    <w:rsid w:val="000E61AF"/>
    <w:rsid w:val="00143DB8"/>
    <w:rsid w:val="001C5064"/>
    <w:rsid w:val="001F204F"/>
    <w:rsid w:val="002044B6"/>
    <w:rsid w:val="00205457"/>
    <w:rsid w:val="002314B7"/>
    <w:rsid w:val="00272565"/>
    <w:rsid w:val="002810D7"/>
    <w:rsid w:val="002B73CF"/>
    <w:rsid w:val="00313CFA"/>
    <w:rsid w:val="00314725"/>
    <w:rsid w:val="00324F33"/>
    <w:rsid w:val="00340406"/>
    <w:rsid w:val="0035677F"/>
    <w:rsid w:val="003811F7"/>
    <w:rsid w:val="003C1B46"/>
    <w:rsid w:val="003F672C"/>
    <w:rsid w:val="003F72A1"/>
    <w:rsid w:val="00412EA8"/>
    <w:rsid w:val="004310C3"/>
    <w:rsid w:val="00441296"/>
    <w:rsid w:val="0044472E"/>
    <w:rsid w:val="004540E7"/>
    <w:rsid w:val="00464DBE"/>
    <w:rsid w:val="00470B9F"/>
    <w:rsid w:val="00494E33"/>
    <w:rsid w:val="004950E0"/>
    <w:rsid w:val="004A0AE2"/>
    <w:rsid w:val="004C7B7E"/>
    <w:rsid w:val="004E47B0"/>
    <w:rsid w:val="004F460D"/>
    <w:rsid w:val="004F6F3C"/>
    <w:rsid w:val="0050757C"/>
    <w:rsid w:val="00545746"/>
    <w:rsid w:val="0055077B"/>
    <w:rsid w:val="00564548"/>
    <w:rsid w:val="00616F56"/>
    <w:rsid w:val="006235A3"/>
    <w:rsid w:val="00646382"/>
    <w:rsid w:val="00687253"/>
    <w:rsid w:val="006C1440"/>
    <w:rsid w:val="006C5FE6"/>
    <w:rsid w:val="006E4DA2"/>
    <w:rsid w:val="00735C58"/>
    <w:rsid w:val="00741B97"/>
    <w:rsid w:val="007774BC"/>
    <w:rsid w:val="007B6338"/>
    <w:rsid w:val="007E5305"/>
    <w:rsid w:val="007E7058"/>
    <w:rsid w:val="00802A83"/>
    <w:rsid w:val="00806F8F"/>
    <w:rsid w:val="008129BA"/>
    <w:rsid w:val="008167CA"/>
    <w:rsid w:val="0087270E"/>
    <w:rsid w:val="008B2521"/>
    <w:rsid w:val="008D3905"/>
    <w:rsid w:val="008E54E3"/>
    <w:rsid w:val="008F56F9"/>
    <w:rsid w:val="009359D7"/>
    <w:rsid w:val="00943AAB"/>
    <w:rsid w:val="00990725"/>
    <w:rsid w:val="009B2EB1"/>
    <w:rsid w:val="009E2444"/>
    <w:rsid w:val="009E3F08"/>
    <w:rsid w:val="009F66DC"/>
    <w:rsid w:val="00A24407"/>
    <w:rsid w:val="00A82C95"/>
    <w:rsid w:val="00A902DA"/>
    <w:rsid w:val="00A92523"/>
    <w:rsid w:val="00A966D9"/>
    <w:rsid w:val="00AD0E7B"/>
    <w:rsid w:val="00B61D24"/>
    <w:rsid w:val="00BA067E"/>
    <w:rsid w:val="00BB6CF5"/>
    <w:rsid w:val="00C52A55"/>
    <w:rsid w:val="00CB450E"/>
    <w:rsid w:val="00CB4938"/>
    <w:rsid w:val="00CC7BCA"/>
    <w:rsid w:val="00D076B8"/>
    <w:rsid w:val="00D40FB9"/>
    <w:rsid w:val="00D46371"/>
    <w:rsid w:val="00D96C60"/>
    <w:rsid w:val="00DA04B9"/>
    <w:rsid w:val="00DA0DFE"/>
    <w:rsid w:val="00DB02BB"/>
    <w:rsid w:val="00DE7072"/>
    <w:rsid w:val="00E02C59"/>
    <w:rsid w:val="00E1191B"/>
    <w:rsid w:val="00E628B4"/>
    <w:rsid w:val="00E854C3"/>
    <w:rsid w:val="00EE576D"/>
    <w:rsid w:val="00EE7780"/>
    <w:rsid w:val="00F05688"/>
    <w:rsid w:val="00F05D87"/>
    <w:rsid w:val="00F45E76"/>
    <w:rsid w:val="00F45FA7"/>
    <w:rsid w:val="00F62E2B"/>
    <w:rsid w:val="00FD343C"/>
    <w:rsid w:val="00FE2756"/>
    <w:rsid w:val="00FF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3FA60D-EAF1-44AD-8449-7C724987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56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12E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F66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E61A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568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F66DC"/>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412EA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C4E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4EB4"/>
    <w:pPr>
      <w:ind w:left="720"/>
      <w:contextualSpacing/>
    </w:pPr>
  </w:style>
  <w:style w:type="paragraph" w:styleId="Header">
    <w:name w:val="header"/>
    <w:basedOn w:val="Normal"/>
    <w:link w:val="HeaderChar"/>
    <w:uiPriority w:val="99"/>
    <w:unhideWhenUsed/>
    <w:rsid w:val="00205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457"/>
  </w:style>
  <w:style w:type="paragraph" w:styleId="Footer">
    <w:name w:val="footer"/>
    <w:basedOn w:val="Normal"/>
    <w:link w:val="FooterChar"/>
    <w:uiPriority w:val="99"/>
    <w:unhideWhenUsed/>
    <w:rsid w:val="00205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457"/>
  </w:style>
  <w:style w:type="character" w:customStyle="1" w:styleId="Heading4Char">
    <w:name w:val="Heading 4 Char"/>
    <w:basedOn w:val="DefaultParagraphFont"/>
    <w:link w:val="Heading4"/>
    <w:uiPriority w:val="9"/>
    <w:semiHidden/>
    <w:rsid w:val="000E61AF"/>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AD0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E7B"/>
    <w:rPr>
      <w:rFonts w:ascii="Segoe UI" w:hAnsi="Segoe UI" w:cs="Segoe UI"/>
      <w:sz w:val="18"/>
      <w:szCs w:val="18"/>
    </w:rPr>
  </w:style>
  <w:style w:type="character" w:styleId="Hyperlink">
    <w:name w:val="Hyperlink"/>
    <w:basedOn w:val="DefaultParagraphFont"/>
    <w:uiPriority w:val="99"/>
    <w:semiHidden/>
    <w:unhideWhenUsed/>
    <w:rsid w:val="00A24407"/>
    <w:rPr>
      <w:color w:val="0000FF"/>
      <w:u w:val="single"/>
    </w:rPr>
  </w:style>
  <w:style w:type="paragraph" w:styleId="NoSpacing">
    <w:name w:val="No Spacing"/>
    <w:uiPriority w:val="1"/>
    <w:qFormat/>
    <w:rsid w:val="00DB0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0512">
      <w:bodyDiv w:val="1"/>
      <w:marLeft w:val="0"/>
      <w:marRight w:val="0"/>
      <w:marTop w:val="0"/>
      <w:marBottom w:val="0"/>
      <w:divBdr>
        <w:top w:val="none" w:sz="0" w:space="0" w:color="auto"/>
        <w:left w:val="none" w:sz="0" w:space="0" w:color="auto"/>
        <w:bottom w:val="none" w:sz="0" w:space="0" w:color="auto"/>
        <w:right w:val="none" w:sz="0" w:space="0" w:color="auto"/>
      </w:divBdr>
    </w:div>
    <w:div w:id="295261295">
      <w:bodyDiv w:val="1"/>
      <w:marLeft w:val="0"/>
      <w:marRight w:val="0"/>
      <w:marTop w:val="0"/>
      <w:marBottom w:val="0"/>
      <w:divBdr>
        <w:top w:val="none" w:sz="0" w:space="0" w:color="auto"/>
        <w:left w:val="none" w:sz="0" w:space="0" w:color="auto"/>
        <w:bottom w:val="none" w:sz="0" w:space="0" w:color="auto"/>
        <w:right w:val="none" w:sz="0" w:space="0" w:color="auto"/>
      </w:divBdr>
    </w:div>
    <w:div w:id="307633868">
      <w:bodyDiv w:val="1"/>
      <w:marLeft w:val="0"/>
      <w:marRight w:val="0"/>
      <w:marTop w:val="0"/>
      <w:marBottom w:val="0"/>
      <w:divBdr>
        <w:top w:val="none" w:sz="0" w:space="0" w:color="auto"/>
        <w:left w:val="none" w:sz="0" w:space="0" w:color="auto"/>
        <w:bottom w:val="none" w:sz="0" w:space="0" w:color="auto"/>
        <w:right w:val="none" w:sz="0" w:space="0" w:color="auto"/>
      </w:divBdr>
    </w:div>
    <w:div w:id="467287479">
      <w:bodyDiv w:val="1"/>
      <w:marLeft w:val="0"/>
      <w:marRight w:val="0"/>
      <w:marTop w:val="0"/>
      <w:marBottom w:val="0"/>
      <w:divBdr>
        <w:top w:val="none" w:sz="0" w:space="0" w:color="auto"/>
        <w:left w:val="none" w:sz="0" w:space="0" w:color="auto"/>
        <w:bottom w:val="none" w:sz="0" w:space="0" w:color="auto"/>
        <w:right w:val="none" w:sz="0" w:space="0" w:color="auto"/>
      </w:divBdr>
    </w:div>
    <w:div w:id="592203332">
      <w:bodyDiv w:val="1"/>
      <w:marLeft w:val="0"/>
      <w:marRight w:val="0"/>
      <w:marTop w:val="0"/>
      <w:marBottom w:val="0"/>
      <w:divBdr>
        <w:top w:val="none" w:sz="0" w:space="0" w:color="auto"/>
        <w:left w:val="none" w:sz="0" w:space="0" w:color="auto"/>
        <w:bottom w:val="none" w:sz="0" w:space="0" w:color="auto"/>
        <w:right w:val="none" w:sz="0" w:space="0" w:color="auto"/>
      </w:divBdr>
    </w:div>
    <w:div w:id="792601564">
      <w:bodyDiv w:val="1"/>
      <w:marLeft w:val="0"/>
      <w:marRight w:val="0"/>
      <w:marTop w:val="0"/>
      <w:marBottom w:val="0"/>
      <w:divBdr>
        <w:top w:val="none" w:sz="0" w:space="0" w:color="auto"/>
        <w:left w:val="none" w:sz="0" w:space="0" w:color="auto"/>
        <w:bottom w:val="none" w:sz="0" w:space="0" w:color="auto"/>
        <w:right w:val="none" w:sz="0" w:space="0" w:color="auto"/>
      </w:divBdr>
    </w:div>
    <w:div w:id="999117651">
      <w:bodyDiv w:val="1"/>
      <w:marLeft w:val="0"/>
      <w:marRight w:val="0"/>
      <w:marTop w:val="0"/>
      <w:marBottom w:val="0"/>
      <w:divBdr>
        <w:top w:val="none" w:sz="0" w:space="0" w:color="auto"/>
        <w:left w:val="none" w:sz="0" w:space="0" w:color="auto"/>
        <w:bottom w:val="none" w:sz="0" w:space="0" w:color="auto"/>
        <w:right w:val="none" w:sz="0" w:space="0" w:color="auto"/>
      </w:divBdr>
    </w:div>
    <w:div w:id="1039548727">
      <w:bodyDiv w:val="1"/>
      <w:marLeft w:val="0"/>
      <w:marRight w:val="0"/>
      <w:marTop w:val="0"/>
      <w:marBottom w:val="0"/>
      <w:divBdr>
        <w:top w:val="none" w:sz="0" w:space="0" w:color="auto"/>
        <w:left w:val="none" w:sz="0" w:space="0" w:color="auto"/>
        <w:bottom w:val="none" w:sz="0" w:space="0" w:color="auto"/>
        <w:right w:val="none" w:sz="0" w:space="0" w:color="auto"/>
      </w:divBdr>
    </w:div>
    <w:div w:id="1250574884">
      <w:bodyDiv w:val="1"/>
      <w:marLeft w:val="0"/>
      <w:marRight w:val="0"/>
      <w:marTop w:val="0"/>
      <w:marBottom w:val="0"/>
      <w:divBdr>
        <w:top w:val="none" w:sz="0" w:space="0" w:color="auto"/>
        <w:left w:val="none" w:sz="0" w:space="0" w:color="auto"/>
        <w:bottom w:val="none" w:sz="0" w:space="0" w:color="auto"/>
        <w:right w:val="none" w:sz="0" w:space="0" w:color="auto"/>
      </w:divBdr>
    </w:div>
    <w:div w:id="1476753739">
      <w:bodyDiv w:val="1"/>
      <w:marLeft w:val="0"/>
      <w:marRight w:val="0"/>
      <w:marTop w:val="0"/>
      <w:marBottom w:val="0"/>
      <w:divBdr>
        <w:top w:val="none" w:sz="0" w:space="0" w:color="auto"/>
        <w:left w:val="none" w:sz="0" w:space="0" w:color="auto"/>
        <w:bottom w:val="none" w:sz="0" w:space="0" w:color="auto"/>
        <w:right w:val="none" w:sz="0" w:space="0" w:color="auto"/>
      </w:divBdr>
    </w:div>
    <w:div w:id="1642226274">
      <w:bodyDiv w:val="1"/>
      <w:marLeft w:val="0"/>
      <w:marRight w:val="0"/>
      <w:marTop w:val="0"/>
      <w:marBottom w:val="0"/>
      <w:divBdr>
        <w:top w:val="none" w:sz="0" w:space="0" w:color="auto"/>
        <w:left w:val="none" w:sz="0" w:space="0" w:color="auto"/>
        <w:bottom w:val="none" w:sz="0" w:space="0" w:color="auto"/>
        <w:right w:val="none" w:sz="0" w:space="0" w:color="auto"/>
      </w:divBdr>
    </w:div>
    <w:div w:id="1706252347">
      <w:bodyDiv w:val="1"/>
      <w:marLeft w:val="0"/>
      <w:marRight w:val="0"/>
      <w:marTop w:val="0"/>
      <w:marBottom w:val="0"/>
      <w:divBdr>
        <w:top w:val="none" w:sz="0" w:space="0" w:color="auto"/>
        <w:left w:val="none" w:sz="0" w:space="0" w:color="auto"/>
        <w:bottom w:val="none" w:sz="0" w:space="0" w:color="auto"/>
        <w:right w:val="none" w:sz="0" w:space="0" w:color="auto"/>
      </w:divBdr>
    </w:div>
    <w:div w:id="1720589809">
      <w:bodyDiv w:val="1"/>
      <w:marLeft w:val="0"/>
      <w:marRight w:val="0"/>
      <w:marTop w:val="0"/>
      <w:marBottom w:val="0"/>
      <w:divBdr>
        <w:top w:val="none" w:sz="0" w:space="0" w:color="auto"/>
        <w:left w:val="none" w:sz="0" w:space="0" w:color="auto"/>
        <w:bottom w:val="none" w:sz="0" w:space="0" w:color="auto"/>
        <w:right w:val="none" w:sz="0" w:space="0" w:color="auto"/>
      </w:divBdr>
    </w:div>
    <w:div w:id="1770810087">
      <w:bodyDiv w:val="1"/>
      <w:marLeft w:val="0"/>
      <w:marRight w:val="0"/>
      <w:marTop w:val="0"/>
      <w:marBottom w:val="0"/>
      <w:divBdr>
        <w:top w:val="none" w:sz="0" w:space="0" w:color="auto"/>
        <w:left w:val="none" w:sz="0" w:space="0" w:color="auto"/>
        <w:bottom w:val="none" w:sz="0" w:space="0" w:color="auto"/>
        <w:right w:val="none" w:sz="0" w:space="0" w:color="auto"/>
      </w:divBdr>
    </w:div>
    <w:div w:id="20062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ercado@ctc-r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mercado@ctc-ri.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BBBD1-F981-4D69-B14F-9B58D41E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Dettling</dc:creator>
  <cp:keywords/>
  <dc:description/>
  <cp:lastModifiedBy>Candice Brown</cp:lastModifiedBy>
  <cp:revision>2</cp:revision>
  <cp:lastPrinted>2020-07-21T20:57:00Z</cp:lastPrinted>
  <dcterms:created xsi:type="dcterms:W3CDTF">2020-08-06T16:55:00Z</dcterms:created>
  <dcterms:modified xsi:type="dcterms:W3CDTF">2020-08-06T16:55:00Z</dcterms:modified>
</cp:coreProperties>
</file>