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05F" w:rsidRDefault="001F005F" w:rsidP="001F005F">
      <w:pPr>
        <w:pStyle w:val="Heading1"/>
        <w:tabs>
          <w:tab w:val="left" w:pos="821"/>
        </w:tabs>
        <w:spacing w:before="1"/>
        <w:ind w:left="0" w:firstLine="0"/>
        <w:rPr>
          <w:b w:val="0"/>
          <w:bCs w:val="0"/>
          <w:sz w:val="28"/>
        </w:rPr>
      </w:pPr>
    </w:p>
    <w:p w:rsidR="00EE40EF" w:rsidRPr="00EE40EF" w:rsidRDefault="00EE40EF" w:rsidP="00EE40EF">
      <w:pPr>
        <w:pStyle w:val="Heading1"/>
        <w:tabs>
          <w:tab w:val="left" w:pos="821"/>
        </w:tabs>
        <w:spacing w:before="1"/>
        <w:ind w:left="0" w:firstLine="0"/>
        <w:jc w:val="center"/>
        <w:rPr>
          <w:b w:val="0"/>
          <w:bCs w:val="0"/>
          <w:sz w:val="28"/>
          <w:u w:val="single"/>
        </w:rPr>
      </w:pPr>
      <w:r>
        <w:rPr>
          <w:b w:val="0"/>
          <w:bCs w:val="0"/>
          <w:sz w:val="28"/>
          <w:u w:val="single"/>
        </w:rPr>
        <w:t xml:space="preserve">Update on Sustainability Payments </w:t>
      </w:r>
      <w:r w:rsidR="001A749F">
        <w:rPr>
          <w:b w:val="0"/>
          <w:bCs w:val="0"/>
          <w:sz w:val="28"/>
          <w:u w:val="single"/>
        </w:rPr>
        <w:t>for PCMH</w:t>
      </w:r>
      <w:r>
        <w:rPr>
          <w:b w:val="0"/>
          <w:bCs w:val="0"/>
          <w:sz w:val="28"/>
          <w:u w:val="single"/>
        </w:rPr>
        <w:t xml:space="preserve"> Kids </w:t>
      </w:r>
    </w:p>
    <w:p w:rsidR="00EE40EF" w:rsidRDefault="00EE40EF" w:rsidP="001F005F">
      <w:pPr>
        <w:pStyle w:val="Heading1"/>
        <w:tabs>
          <w:tab w:val="left" w:pos="821"/>
        </w:tabs>
        <w:spacing w:before="1"/>
        <w:ind w:left="0" w:firstLine="0"/>
        <w:rPr>
          <w:b w:val="0"/>
          <w:bCs w:val="0"/>
          <w:sz w:val="28"/>
        </w:rPr>
      </w:pPr>
    </w:p>
    <w:p w:rsidR="001F005F" w:rsidRDefault="001F005F" w:rsidP="001F005F">
      <w:pPr>
        <w:pStyle w:val="Heading1"/>
        <w:tabs>
          <w:tab w:val="left" w:pos="821"/>
        </w:tabs>
        <w:spacing w:before="1"/>
        <w:ind w:left="0" w:firstLine="0"/>
        <w:rPr>
          <w:b w:val="0"/>
          <w:bCs w:val="0"/>
          <w:sz w:val="28"/>
        </w:rPr>
      </w:pPr>
      <w:r>
        <w:rPr>
          <w:b w:val="0"/>
          <w:bCs w:val="0"/>
          <w:sz w:val="28"/>
        </w:rPr>
        <w:t xml:space="preserve">PCMH Kids Cohort 1 practices will be ending their </w:t>
      </w:r>
      <w:r w:rsidR="00C634FE">
        <w:rPr>
          <w:b w:val="0"/>
          <w:bCs w:val="0"/>
          <w:sz w:val="28"/>
        </w:rPr>
        <w:t>3-year</w:t>
      </w:r>
      <w:r>
        <w:rPr>
          <w:b w:val="0"/>
          <w:bCs w:val="0"/>
          <w:sz w:val="28"/>
        </w:rPr>
        <w:t xml:space="preserve"> contract</w:t>
      </w:r>
      <w:r w:rsidR="00C634FE">
        <w:rPr>
          <w:b w:val="0"/>
          <w:bCs w:val="0"/>
          <w:sz w:val="28"/>
        </w:rPr>
        <w:t xml:space="preserve"> with the health plans on</w:t>
      </w:r>
      <w:r>
        <w:rPr>
          <w:b w:val="0"/>
          <w:bCs w:val="0"/>
          <w:sz w:val="28"/>
        </w:rPr>
        <w:t xml:space="preserve"> 12/31/18. </w:t>
      </w:r>
      <w:r w:rsidR="00C634FE">
        <w:rPr>
          <w:b w:val="0"/>
          <w:bCs w:val="0"/>
          <w:sz w:val="28"/>
        </w:rPr>
        <w:t xml:space="preserve">PCMH Kids practices that meet the OHIC PCMH Rhode Island definition will be eligible for commercial health plan sustainability payments effective 1/1/19.  OHIC recently published a “Frequently Asked Questions” document (insert link) which highlights sustainability expectations.  </w:t>
      </w:r>
    </w:p>
    <w:p w:rsidR="00C634FE" w:rsidRDefault="00C634FE" w:rsidP="001F005F">
      <w:pPr>
        <w:pStyle w:val="Heading1"/>
        <w:tabs>
          <w:tab w:val="left" w:pos="821"/>
        </w:tabs>
        <w:spacing w:before="1"/>
        <w:ind w:left="0" w:firstLine="0"/>
        <w:rPr>
          <w:b w:val="0"/>
          <w:bCs w:val="0"/>
          <w:sz w:val="28"/>
        </w:rPr>
      </w:pPr>
    </w:p>
    <w:p w:rsidR="00C634FE" w:rsidRDefault="00C634FE" w:rsidP="001F005F">
      <w:pPr>
        <w:pStyle w:val="Heading1"/>
        <w:tabs>
          <w:tab w:val="left" w:pos="821"/>
        </w:tabs>
        <w:spacing w:before="1"/>
        <w:ind w:left="0" w:firstLine="0"/>
        <w:rPr>
          <w:b w:val="0"/>
          <w:bCs w:val="0"/>
          <w:sz w:val="28"/>
        </w:rPr>
      </w:pPr>
      <w:r>
        <w:rPr>
          <w:b w:val="0"/>
          <w:bCs w:val="0"/>
          <w:sz w:val="28"/>
        </w:rPr>
        <w:t xml:space="preserve">If you are part of a system of care (SOC), your practice is encouraged to reach out to your SOC leadership to discuss “next steps” in working with each of the health plans to ensure that the SOC successfully negotiates for PCMH Kids sustainability payment </w:t>
      </w:r>
      <w:r w:rsidR="00EE40EF">
        <w:rPr>
          <w:b w:val="0"/>
          <w:bCs w:val="0"/>
          <w:sz w:val="28"/>
        </w:rPr>
        <w:t xml:space="preserve">on your practice’s behalf.  You will also want to have conversations with the SOC leadership to understand how your practice will realize the benefits of the sustainability payment so that your practice can continue to provide care coordination services and function as a patient centered medical home. Outlined below are some of the key sustainability questions addressed in the OHIC FAQ document. </w:t>
      </w:r>
    </w:p>
    <w:p w:rsidR="00EE40EF" w:rsidRDefault="00EE40EF" w:rsidP="001F005F">
      <w:pPr>
        <w:pStyle w:val="Heading1"/>
        <w:tabs>
          <w:tab w:val="left" w:pos="821"/>
        </w:tabs>
        <w:spacing w:before="1"/>
        <w:ind w:left="0" w:firstLine="0"/>
        <w:rPr>
          <w:b w:val="0"/>
          <w:bCs w:val="0"/>
          <w:sz w:val="28"/>
        </w:rPr>
      </w:pPr>
    </w:p>
    <w:p w:rsidR="00EE40EF" w:rsidRDefault="00EE40EF" w:rsidP="001F005F">
      <w:pPr>
        <w:pStyle w:val="Heading1"/>
        <w:tabs>
          <w:tab w:val="left" w:pos="821"/>
        </w:tabs>
        <w:spacing w:before="1"/>
        <w:ind w:left="0" w:firstLine="0"/>
        <w:rPr>
          <w:b w:val="0"/>
          <w:bCs w:val="0"/>
          <w:sz w:val="28"/>
        </w:rPr>
      </w:pPr>
      <w:r>
        <w:rPr>
          <w:b w:val="0"/>
          <w:bCs w:val="0"/>
          <w:sz w:val="28"/>
        </w:rPr>
        <w:t xml:space="preserve">PCMH Kids leadership is in the process of meeting with Managed Medicaid health plans (NHPRI and United) to discuss bridge funding that is needed for the PCMH Kids practices to successfully sustain the PCMH model between 1/1/19 and 6/30/19.  It is anticipated that starting 7/1/19, the Managed Medicaid plans will be including PCMH Kids sustainability payments in the 7/1/19 budgets. </w:t>
      </w:r>
      <w:bookmarkStart w:id="0" w:name="_GoBack"/>
      <w:bookmarkEnd w:id="0"/>
    </w:p>
    <w:p w:rsidR="00595FBC" w:rsidRDefault="00595FBC">
      <w:pPr>
        <w:widowControl/>
        <w:autoSpaceDE/>
        <w:autoSpaceDN/>
        <w:spacing w:after="160" w:line="259" w:lineRule="auto"/>
        <w:rPr>
          <w:b/>
          <w:bCs/>
          <w:sz w:val="28"/>
        </w:rPr>
      </w:pPr>
      <w:r>
        <w:rPr>
          <w:b/>
          <w:bCs/>
          <w:sz w:val="28"/>
        </w:rPr>
        <w:br w:type="page"/>
      </w:r>
    </w:p>
    <w:p w:rsidR="00595FBC" w:rsidRDefault="00595FBC">
      <w:pPr>
        <w:widowControl/>
        <w:autoSpaceDE/>
        <w:autoSpaceDN/>
        <w:spacing w:after="160" w:line="259" w:lineRule="auto"/>
        <w:rPr>
          <w:sz w:val="28"/>
        </w:rPr>
      </w:pPr>
      <w:r>
        <w:rPr>
          <w:b/>
          <w:bCs/>
          <w:sz w:val="28"/>
        </w:rPr>
        <w:lastRenderedPageBreak/>
        <w:br w:type="page"/>
      </w:r>
    </w:p>
    <w:p w:rsidR="00EE40EF" w:rsidRDefault="00EE40EF" w:rsidP="001F005F">
      <w:pPr>
        <w:pStyle w:val="Heading1"/>
        <w:tabs>
          <w:tab w:val="left" w:pos="821"/>
        </w:tabs>
        <w:spacing w:before="1"/>
        <w:ind w:left="0" w:firstLine="0"/>
        <w:rPr>
          <w:b w:val="0"/>
          <w:bCs w:val="0"/>
          <w:sz w:val="28"/>
        </w:rPr>
      </w:pPr>
    </w:p>
    <w:p w:rsidR="001F005F" w:rsidRPr="0009462D" w:rsidRDefault="00EE40EF" w:rsidP="0009462D">
      <w:pPr>
        <w:pStyle w:val="Heading1"/>
        <w:tabs>
          <w:tab w:val="left" w:pos="821"/>
        </w:tabs>
        <w:spacing w:before="1"/>
        <w:ind w:left="0" w:firstLine="0"/>
        <w:jc w:val="center"/>
        <w:rPr>
          <w:b w:val="0"/>
          <w:bCs w:val="0"/>
          <w:sz w:val="28"/>
          <w:u w:val="single"/>
        </w:rPr>
      </w:pPr>
      <w:r w:rsidRPr="00EE40EF">
        <w:rPr>
          <w:b w:val="0"/>
          <w:bCs w:val="0"/>
          <w:sz w:val="28"/>
          <w:u w:val="single"/>
        </w:rPr>
        <w:t>OHIC FAQ Sustainability Questions and Responses</w:t>
      </w:r>
    </w:p>
    <w:p w:rsidR="001F005F" w:rsidRDefault="001F005F" w:rsidP="001F005F">
      <w:pPr>
        <w:pStyle w:val="Heading1"/>
        <w:tabs>
          <w:tab w:val="left" w:pos="821"/>
        </w:tabs>
        <w:spacing w:before="1"/>
        <w:ind w:left="0" w:firstLine="0"/>
        <w:rPr>
          <w:b w:val="0"/>
          <w:bCs w:val="0"/>
          <w:sz w:val="28"/>
        </w:rPr>
      </w:pPr>
    </w:p>
    <w:p w:rsidR="001F005F" w:rsidRDefault="001F005F" w:rsidP="001F005F">
      <w:pPr>
        <w:pStyle w:val="Heading1"/>
        <w:numPr>
          <w:ilvl w:val="3"/>
          <w:numId w:val="1"/>
        </w:numPr>
        <w:tabs>
          <w:tab w:val="left" w:pos="821"/>
        </w:tabs>
        <w:spacing w:before="1"/>
        <w:jc w:val="left"/>
      </w:pPr>
      <w:r>
        <w:t>If a practice meets the definition of PCMH, when will it get Support</w:t>
      </w:r>
      <w:r>
        <w:rPr>
          <w:spacing w:val="-18"/>
        </w:rPr>
        <w:t xml:space="preserve"> </w:t>
      </w:r>
      <w:r>
        <w:t>Payments?</w:t>
      </w:r>
    </w:p>
    <w:p w:rsidR="001F005F" w:rsidRDefault="001F005F" w:rsidP="001F005F">
      <w:pPr>
        <w:pStyle w:val="ListParagraph"/>
        <w:numPr>
          <w:ilvl w:val="4"/>
          <w:numId w:val="1"/>
        </w:numPr>
        <w:tabs>
          <w:tab w:val="left" w:pos="1541"/>
        </w:tabs>
        <w:spacing w:before="40" w:line="276" w:lineRule="auto"/>
        <w:ind w:right="112"/>
        <w:jc w:val="both"/>
      </w:pPr>
      <w:r>
        <w:t>Commercial health plans are obligated to pay practices Support Payments when the health plan includes the practice in its OHIC PCMH target count. Plans may make the payments directly to the practice or to the contracting entity with</w:t>
      </w:r>
      <w:r>
        <w:rPr>
          <w:spacing w:val="-36"/>
        </w:rPr>
        <w:t xml:space="preserve"> </w:t>
      </w:r>
      <w:r>
        <w:t xml:space="preserve">which the practice is affiliated. Plans are not obligated to pay Support Payments </w:t>
      </w:r>
      <w:r w:rsidR="00C634FE">
        <w:t>to practices</w:t>
      </w:r>
      <w:r>
        <w:t xml:space="preserve"> that meet the OHIC PCMH definition, but are not included in the health plan’s PCMH target</w:t>
      </w:r>
      <w:r>
        <w:rPr>
          <w:spacing w:val="-2"/>
        </w:rPr>
        <w:t xml:space="preserve"> </w:t>
      </w:r>
      <w:r>
        <w:t>count.</w:t>
      </w:r>
    </w:p>
    <w:p w:rsidR="00595FBC" w:rsidRDefault="001F005F" w:rsidP="00595FBC">
      <w:pPr>
        <w:pStyle w:val="BodyText"/>
        <w:numPr>
          <w:ilvl w:val="4"/>
          <w:numId w:val="1"/>
        </w:numPr>
        <w:spacing w:before="36" w:line="276" w:lineRule="auto"/>
      </w:pPr>
      <w:r>
        <w:t>The health plan must make payments every year that the practice is included in the PCMH target count. OHIC will be assessing practice achievement in October of</w:t>
      </w:r>
      <w:r>
        <w:rPr>
          <w:spacing w:val="30"/>
        </w:rPr>
        <w:t xml:space="preserve"> </w:t>
      </w:r>
      <w:r>
        <w:t>each</w:t>
      </w:r>
      <w:r>
        <w:rPr>
          <w:spacing w:val="30"/>
        </w:rPr>
        <w:t xml:space="preserve"> </w:t>
      </w:r>
      <w:r>
        <w:t>year.</w:t>
      </w:r>
      <w:r>
        <w:rPr>
          <w:spacing w:val="3"/>
        </w:rPr>
        <w:t xml:space="preserve"> </w:t>
      </w:r>
      <w:r>
        <w:t>A</w:t>
      </w:r>
      <w:r>
        <w:rPr>
          <w:spacing w:val="30"/>
        </w:rPr>
        <w:t xml:space="preserve"> </w:t>
      </w:r>
      <w:r>
        <w:t>practice</w:t>
      </w:r>
      <w:r>
        <w:rPr>
          <w:spacing w:val="30"/>
        </w:rPr>
        <w:t xml:space="preserve"> </w:t>
      </w:r>
      <w:r>
        <w:t>that</w:t>
      </w:r>
      <w:r>
        <w:rPr>
          <w:spacing w:val="30"/>
        </w:rPr>
        <w:t xml:space="preserve"> </w:t>
      </w:r>
      <w:r>
        <w:t>newly</w:t>
      </w:r>
      <w:r>
        <w:rPr>
          <w:spacing w:val="28"/>
        </w:rPr>
        <w:t xml:space="preserve"> </w:t>
      </w:r>
      <w:r>
        <w:t>meets</w:t>
      </w:r>
      <w:r>
        <w:rPr>
          <w:spacing w:val="30"/>
        </w:rPr>
        <w:t xml:space="preserve"> </w:t>
      </w:r>
      <w:r>
        <w:t>the</w:t>
      </w:r>
      <w:r>
        <w:rPr>
          <w:spacing w:val="30"/>
        </w:rPr>
        <w:t xml:space="preserve"> </w:t>
      </w:r>
      <w:r>
        <w:t>definition</w:t>
      </w:r>
      <w:r>
        <w:rPr>
          <w:spacing w:val="30"/>
        </w:rPr>
        <w:t xml:space="preserve"> </w:t>
      </w:r>
      <w:r>
        <w:t>can</w:t>
      </w:r>
      <w:r>
        <w:rPr>
          <w:spacing w:val="30"/>
        </w:rPr>
        <w:t xml:space="preserve"> </w:t>
      </w:r>
      <w:r>
        <w:t>expect</w:t>
      </w:r>
      <w:r>
        <w:rPr>
          <w:spacing w:val="30"/>
        </w:rPr>
        <w:t xml:space="preserve"> </w:t>
      </w:r>
      <w:r>
        <w:t>to</w:t>
      </w:r>
      <w:r>
        <w:rPr>
          <w:spacing w:val="26"/>
        </w:rPr>
        <w:t xml:space="preserve"> </w:t>
      </w:r>
      <w:r>
        <w:t>receive</w:t>
      </w:r>
      <w:r w:rsidR="00595FBC">
        <w:t xml:space="preserve"> </w:t>
      </w:r>
      <w:r w:rsidR="00595FBC">
        <w:t>payment during the next calendar year following OHIC PCMH recognition, if the practice is to be included in the health plan’s PCMH target count for OHIC.</w:t>
      </w:r>
    </w:p>
    <w:p w:rsidR="001F005F" w:rsidRDefault="001F005F" w:rsidP="001F005F">
      <w:pPr>
        <w:pStyle w:val="BodyText"/>
        <w:spacing w:before="3"/>
        <w:ind w:left="0" w:firstLine="0"/>
        <w:rPr>
          <w:sz w:val="25"/>
        </w:rPr>
      </w:pPr>
    </w:p>
    <w:p w:rsidR="001F005F" w:rsidRDefault="001F005F" w:rsidP="001F005F">
      <w:pPr>
        <w:pStyle w:val="Heading1"/>
        <w:numPr>
          <w:ilvl w:val="3"/>
          <w:numId w:val="1"/>
        </w:numPr>
        <w:tabs>
          <w:tab w:val="left" w:pos="821"/>
        </w:tabs>
        <w:ind w:hanging="360"/>
        <w:jc w:val="left"/>
      </w:pPr>
      <w:r>
        <w:t>How much will the Support Payment be to</w:t>
      </w:r>
      <w:r>
        <w:rPr>
          <w:spacing w:val="-11"/>
        </w:rPr>
        <w:t xml:space="preserve"> </w:t>
      </w:r>
      <w:r>
        <w:t>practices?</w:t>
      </w:r>
    </w:p>
    <w:p w:rsidR="001F005F" w:rsidRDefault="001F005F" w:rsidP="001F005F">
      <w:pPr>
        <w:pStyle w:val="ListParagraph"/>
        <w:numPr>
          <w:ilvl w:val="4"/>
          <w:numId w:val="1"/>
        </w:numPr>
        <w:tabs>
          <w:tab w:val="left" w:pos="1541"/>
        </w:tabs>
        <w:spacing w:before="40" w:line="276" w:lineRule="auto"/>
        <w:ind w:right="114"/>
        <w:jc w:val="both"/>
      </w:pPr>
      <w:r>
        <w:t>The level of Support Payments will be negotiated between the practice and the health plans. OHIC is not setting a payment level, but has told health plans that the levels must be meaningful to the</w:t>
      </w:r>
      <w:r>
        <w:rPr>
          <w:spacing w:val="-5"/>
        </w:rPr>
        <w:t xml:space="preserve"> </w:t>
      </w:r>
      <w:r>
        <w:t>practices.</w:t>
      </w:r>
    </w:p>
    <w:p w:rsidR="001F005F" w:rsidRDefault="001F005F" w:rsidP="001F005F">
      <w:pPr>
        <w:pStyle w:val="BodyText"/>
        <w:spacing w:before="3"/>
        <w:ind w:left="0" w:firstLine="0"/>
        <w:rPr>
          <w:sz w:val="25"/>
        </w:rPr>
      </w:pPr>
    </w:p>
    <w:p w:rsidR="001F005F" w:rsidRDefault="001F005F" w:rsidP="001F005F">
      <w:pPr>
        <w:pStyle w:val="Heading1"/>
        <w:numPr>
          <w:ilvl w:val="3"/>
          <w:numId w:val="1"/>
        </w:numPr>
        <w:tabs>
          <w:tab w:val="left" w:pos="821"/>
        </w:tabs>
        <w:ind w:hanging="360"/>
        <w:jc w:val="left"/>
      </w:pPr>
      <w:r>
        <w:t xml:space="preserve">Do the payments apply to </w:t>
      </w:r>
      <w:proofErr w:type="gramStart"/>
      <w:r>
        <w:t>all of</w:t>
      </w:r>
      <w:proofErr w:type="gramEnd"/>
      <w:r>
        <w:t xml:space="preserve"> my patients, or only certain</w:t>
      </w:r>
      <w:r>
        <w:rPr>
          <w:spacing w:val="-13"/>
        </w:rPr>
        <w:t xml:space="preserve"> </w:t>
      </w:r>
      <w:r>
        <w:t>ones?</w:t>
      </w:r>
    </w:p>
    <w:p w:rsidR="001F005F" w:rsidRDefault="001F005F" w:rsidP="001F005F">
      <w:pPr>
        <w:pStyle w:val="ListParagraph"/>
        <w:numPr>
          <w:ilvl w:val="4"/>
          <w:numId w:val="1"/>
        </w:numPr>
        <w:tabs>
          <w:tab w:val="left" w:pos="1541"/>
        </w:tabs>
        <w:spacing w:before="40" w:line="276" w:lineRule="auto"/>
        <w:ind w:right="114"/>
        <w:jc w:val="both"/>
      </w:pPr>
      <w:r>
        <w:t>OHIC has regulatory authority only over fully insured commercial health plans. Therefore,</w:t>
      </w:r>
      <w:r>
        <w:rPr>
          <w:spacing w:val="-13"/>
        </w:rPr>
        <w:t xml:space="preserve"> </w:t>
      </w:r>
      <w:r>
        <w:t>payments</w:t>
      </w:r>
      <w:r>
        <w:rPr>
          <w:spacing w:val="-13"/>
        </w:rPr>
        <w:t xml:space="preserve"> </w:t>
      </w:r>
      <w:r>
        <w:t>must</w:t>
      </w:r>
      <w:r>
        <w:rPr>
          <w:spacing w:val="-13"/>
        </w:rPr>
        <w:t xml:space="preserve"> </w:t>
      </w:r>
      <w:r>
        <w:t>apply</w:t>
      </w:r>
      <w:r>
        <w:rPr>
          <w:spacing w:val="-13"/>
        </w:rPr>
        <w:t xml:space="preserve"> </w:t>
      </w:r>
      <w:r>
        <w:t>to</w:t>
      </w:r>
      <w:r>
        <w:rPr>
          <w:spacing w:val="-14"/>
        </w:rPr>
        <w:t xml:space="preserve"> </w:t>
      </w:r>
      <w:r>
        <w:t>your</w:t>
      </w:r>
      <w:r>
        <w:rPr>
          <w:spacing w:val="-14"/>
        </w:rPr>
        <w:t xml:space="preserve"> </w:t>
      </w:r>
      <w:r>
        <w:t>patients</w:t>
      </w:r>
      <w:r>
        <w:rPr>
          <w:spacing w:val="-13"/>
        </w:rPr>
        <w:t xml:space="preserve"> </w:t>
      </w:r>
      <w:r>
        <w:t>who</w:t>
      </w:r>
      <w:r>
        <w:rPr>
          <w:spacing w:val="-14"/>
        </w:rPr>
        <w:t xml:space="preserve"> </w:t>
      </w:r>
      <w:r>
        <w:t>are</w:t>
      </w:r>
      <w:r>
        <w:rPr>
          <w:spacing w:val="-13"/>
        </w:rPr>
        <w:t xml:space="preserve"> </w:t>
      </w:r>
      <w:r>
        <w:t>covered</w:t>
      </w:r>
      <w:r>
        <w:rPr>
          <w:spacing w:val="-14"/>
        </w:rPr>
        <w:t xml:space="preserve"> </w:t>
      </w:r>
      <w:r>
        <w:t>by</w:t>
      </w:r>
      <w:r>
        <w:rPr>
          <w:spacing w:val="-14"/>
        </w:rPr>
        <w:t xml:space="preserve"> </w:t>
      </w:r>
      <w:r>
        <w:t>fully</w:t>
      </w:r>
      <w:r>
        <w:rPr>
          <w:spacing w:val="-15"/>
        </w:rPr>
        <w:t xml:space="preserve"> </w:t>
      </w:r>
      <w:r>
        <w:t>insured benefits. The OHIC regulations also require that fully insured accounts not shoulder</w:t>
      </w:r>
      <w:r>
        <w:rPr>
          <w:spacing w:val="-10"/>
        </w:rPr>
        <w:t xml:space="preserve"> </w:t>
      </w:r>
      <w:r>
        <w:t>more</w:t>
      </w:r>
      <w:r>
        <w:rPr>
          <w:spacing w:val="-10"/>
        </w:rPr>
        <w:t xml:space="preserve"> </w:t>
      </w:r>
      <w:r>
        <w:t>than</w:t>
      </w:r>
      <w:r>
        <w:rPr>
          <w:spacing w:val="-9"/>
        </w:rPr>
        <w:t xml:space="preserve"> </w:t>
      </w:r>
      <w:r>
        <w:t>their</w:t>
      </w:r>
      <w:r>
        <w:rPr>
          <w:spacing w:val="-12"/>
        </w:rPr>
        <w:t xml:space="preserve"> </w:t>
      </w:r>
      <w:r>
        <w:t>fair</w:t>
      </w:r>
      <w:r>
        <w:rPr>
          <w:spacing w:val="-10"/>
        </w:rPr>
        <w:t xml:space="preserve"> </w:t>
      </w:r>
      <w:r>
        <w:t>share</w:t>
      </w:r>
      <w:r>
        <w:rPr>
          <w:spacing w:val="-10"/>
        </w:rPr>
        <w:t xml:space="preserve"> </w:t>
      </w:r>
      <w:r>
        <w:t>of</w:t>
      </w:r>
      <w:r>
        <w:rPr>
          <w:spacing w:val="-9"/>
        </w:rPr>
        <w:t xml:space="preserve"> </w:t>
      </w:r>
      <w:r>
        <w:t>the</w:t>
      </w:r>
      <w:r>
        <w:rPr>
          <w:spacing w:val="-12"/>
        </w:rPr>
        <w:t xml:space="preserve"> </w:t>
      </w:r>
      <w:r>
        <w:t>costs</w:t>
      </w:r>
      <w:r>
        <w:rPr>
          <w:spacing w:val="-10"/>
        </w:rPr>
        <w:t xml:space="preserve"> </w:t>
      </w:r>
      <w:r>
        <w:t>of</w:t>
      </w:r>
      <w:r>
        <w:rPr>
          <w:spacing w:val="-9"/>
        </w:rPr>
        <w:t xml:space="preserve"> </w:t>
      </w:r>
      <w:r>
        <w:t>the</w:t>
      </w:r>
      <w:r>
        <w:rPr>
          <w:spacing w:val="-10"/>
        </w:rPr>
        <w:t xml:space="preserve"> </w:t>
      </w:r>
      <w:r>
        <w:t>PCMH</w:t>
      </w:r>
      <w:r>
        <w:rPr>
          <w:spacing w:val="-9"/>
        </w:rPr>
        <w:t xml:space="preserve"> </w:t>
      </w:r>
      <w:r>
        <w:t>recognition</w:t>
      </w:r>
      <w:r>
        <w:rPr>
          <w:spacing w:val="-9"/>
        </w:rPr>
        <w:t xml:space="preserve"> </w:t>
      </w:r>
      <w:r>
        <w:t>program.</w:t>
      </w:r>
    </w:p>
    <w:p w:rsidR="001F005F" w:rsidRDefault="001F005F" w:rsidP="001F005F">
      <w:pPr>
        <w:pStyle w:val="ListParagraph"/>
        <w:numPr>
          <w:ilvl w:val="4"/>
          <w:numId w:val="1"/>
        </w:numPr>
        <w:tabs>
          <w:tab w:val="left" w:pos="1541"/>
        </w:tabs>
        <w:spacing w:before="1" w:line="276" w:lineRule="auto"/>
        <w:ind w:right="114"/>
        <w:jc w:val="both"/>
      </w:pPr>
      <w:r>
        <w:t>Historically, the health plans have also made payments for patients covered by self-insured accounts for practices participating in CTC-RI. OHIC anticipates, but cannot require, that they will continue to do</w:t>
      </w:r>
      <w:r>
        <w:rPr>
          <w:spacing w:val="-10"/>
        </w:rPr>
        <w:t xml:space="preserve"> </w:t>
      </w:r>
      <w:r>
        <w:t>so.</w:t>
      </w:r>
    </w:p>
    <w:p w:rsidR="001F005F" w:rsidRDefault="001F005F" w:rsidP="001F005F">
      <w:pPr>
        <w:pStyle w:val="BodyText"/>
        <w:spacing w:before="3"/>
        <w:ind w:left="0" w:firstLine="0"/>
        <w:rPr>
          <w:sz w:val="25"/>
        </w:rPr>
      </w:pPr>
    </w:p>
    <w:p w:rsidR="001F005F" w:rsidRDefault="001F005F" w:rsidP="001F005F">
      <w:pPr>
        <w:pStyle w:val="Heading1"/>
        <w:numPr>
          <w:ilvl w:val="3"/>
          <w:numId w:val="1"/>
        </w:numPr>
        <w:tabs>
          <w:tab w:val="left" w:pos="821"/>
        </w:tabs>
        <w:ind w:hanging="360"/>
        <w:jc w:val="left"/>
      </w:pPr>
      <w:r>
        <w:t>What happens if the practice does not meet the definition of</w:t>
      </w:r>
      <w:r>
        <w:rPr>
          <w:spacing w:val="-8"/>
        </w:rPr>
        <w:t xml:space="preserve"> </w:t>
      </w:r>
      <w:r>
        <w:t>PCMH?</w:t>
      </w:r>
    </w:p>
    <w:p w:rsidR="001F005F" w:rsidRDefault="001F005F" w:rsidP="001F005F">
      <w:pPr>
        <w:pStyle w:val="ListParagraph"/>
        <w:numPr>
          <w:ilvl w:val="4"/>
          <w:numId w:val="1"/>
        </w:numPr>
        <w:tabs>
          <w:tab w:val="left" w:pos="1541"/>
        </w:tabs>
        <w:spacing w:before="40" w:line="276" w:lineRule="auto"/>
        <w:ind w:right="116"/>
        <w:jc w:val="both"/>
      </w:pPr>
      <w:r>
        <w:t>If</w:t>
      </w:r>
      <w:r>
        <w:rPr>
          <w:spacing w:val="-10"/>
        </w:rPr>
        <w:t xml:space="preserve"> </w:t>
      </w:r>
      <w:r>
        <w:t>the</w:t>
      </w:r>
      <w:r>
        <w:rPr>
          <w:spacing w:val="-11"/>
        </w:rPr>
        <w:t xml:space="preserve"> </w:t>
      </w:r>
      <w:r>
        <w:t>practice</w:t>
      </w:r>
      <w:r>
        <w:rPr>
          <w:spacing w:val="-11"/>
        </w:rPr>
        <w:t xml:space="preserve"> </w:t>
      </w:r>
      <w:r>
        <w:t>does</w:t>
      </w:r>
      <w:r>
        <w:rPr>
          <w:spacing w:val="-10"/>
        </w:rPr>
        <w:t xml:space="preserve"> </w:t>
      </w:r>
      <w:r>
        <w:t>not</w:t>
      </w:r>
      <w:r>
        <w:rPr>
          <w:spacing w:val="-11"/>
        </w:rPr>
        <w:t xml:space="preserve"> </w:t>
      </w:r>
      <w:r>
        <w:t>meet</w:t>
      </w:r>
      <w:r>
        <w:rPr>
          <w:spacing w:val="-11"/>
        </w:rPr>
        <w:t xml:space="preserve"> </w:t>
      </w:r>
      <w:r>
        <w:t>the</w:t>
      </w:r>
      <w:r>
        <w:rPr>
          <w:spacing w:val="-11"/>
        </w:rPr>
        <w:t xml:space="preserve"> </w:t>
      </w:r>
      <w:r>
        <w:t>PCMH</w:t>
      </w:r>
      <w:r>
        <w:rPr>
          <w:spacing w:val="-10"/>
        </w:rPr>
        <w:t xml:space="preserve"> </w:t>
      </w:r>
      <w:r>
        <w:t>definition,</w:t>
      </w:r>
      <w:r>
        <w:rPr>
          <w:spacing w:val="-13"/>
        </w:rPr>
        <w:t xml:space="preserve"> </w:t>
      </w:r>
      <w:r>
        <w:t>the</w:t>
      </w:r>
      <w:r>
        <w:rPr>
          <w:spacing w:val="-11"/>
        </w:rPr>
        <w:t xml:space="preserve"> </w:t>
      </w:r>
      <w:r>
        <w:t>health</w:t>
      </w:r>
      <w:r>
        <w:rPr>
          <w:spacing w:val="-10"/>
        </w:rPr>
        <w:t xml:space="preserve"> </w:t>
      </w:r>
      <w:r>
        <w:t>plans</w:t>
      </w:r>
      <w:r>
        <w:rPr>
          <w:spacing w:val="-11"/>
        </w:rPr>
        <w:t xml:space="preserve"> </w:t>
      </w:r>
      <w:r>
        <w:t>will</w:t>
      </w:r>
      <w:r>
        <w:rPr>
          <w:spacing w:val="-13"/>
        </w:rPr>
        <w:t xml:space="preserve"> </w:t>
      </w:r>
      <w:r>
        <w:t>not</w:t>
      </w:r>
      <w:r>
        <w:rPr>
          <w:spacing w:val="-11"/>
        </w:rPr>
        <w:t xml:space="preserve"> </w:t>
      </w:r>
      <w:r>
        <w:t>be</w:t>
      </w:r>
      <w:r>
        <w:rPr>
          <w:spacing w:val="-11"/>
        </w:rPr>
        <w:t xml:space="preserve"> </w:t>
      </w:r>
      <w:r>
        <w:t>able to include them in their PCMH target</w:t>
      </w:r>
      <w:r>
        <w:rPr>
          <w:spacing w:val="-4"/>
        </w:rPr>
        <w:t xml:space="preserve"> </w:t>
      </w:r>
      <w:r>
        <w:t>count.</w:t>
      </w:r>
    </w:p>
    <w:p w:rsidR="001F005F" w:rsidRDefault="001F005F" w:rsidP="001F005F">
      <w:pPr>
        <w:pStyle w:val="ListParagraph"/>
        <w:numPr>
          <w:ilvl w:val="4"/>
          <w:numId w:val="1"/>
        </w:numPr>
        <w:tabs>
          <w:tab w:val="left" w:pos="1541"/>
        </w:tabs>
        <w:spacing w:line="276" w:lineRule="auto"/>
        <w:ind w:right="115"/>
        <w:jc w:val="both"/>
      </w:pPr>
      <w:r>
        <w:t>While</w:t>
      </w:r>
      <w:r>
        <w:rPr>
          <w:spacing w:val="-11"/>
        </w:rPr>
        <w:t xml:space="preserve"> </w:t>
      </w:r>
      <w:r>
        <w:t>under</w:t>
      </w:r>
      <w:r>
        <w:rPr>
          <w:spacing w:val="-12"/>
        </w:rPr>
        <w:t xml:space="preserve"> </w:t>
      </w:r>
      <w:r>
        <w:t>OHIC</w:t>
      </w:r>
      <w:r>
        <w:rPr>
          <w:spacing w:val="-11"/>
        </w:rPr>
        <w:t xml:space="preserve"> </w:t>
      </w:r>
      <w:r>
        <w:t>regulations</w:t>
      </w:r>
      <w:r>
        <w:rPr>
          <w:spacing w:val="-10"/>
        </w:rPr>
        <w:t xml:space="preserve"> </w:t>
      </w:r>
      <w:r>
        <w:t>the</w:t>
      </w:r>
      <w:r>
        <w:rPr>
          <w:spacing w:val="-11"/>
        </w:rPr>
        <w:t xml:space="preserve"> </w:t>
      </w:r>
      <w:r>
        <w:t>health</w:t>
      </w:r>
      <w:r>
        <w:rPr>
          <w:spacing w:val="-9"/>
        </w:rPr>
        <w:t xml:space="preserve"> </w:t>
      </w:r>
      <w:r>
        <w:t>plan</w:t>
      </w:r>
      <w:r>
        <w:rPr>
          <w:spacing w:val="-9"/>
        </w:rPr>
        <w:t xml:space="preserve"> </w:t>
      </w:r>
      <w:r>
        <w:t>will</w:t>
      </w:r>
      <w:r>
        <w:rPr>
          <w:spacing w:val="-11"/>
        </w:rPr>
        <w:t xml:space="preserve"> </w:t>
      </w:r>
      <w:r>
        <w:t>no</w:t>
      </w:r>
      <w:r>
        <w:rPr>
          <w:spacing w:val="-11"/>
        </w:rPr>
        <w:t xml:space="preserve"> </w:t>
      </w:r>
      <w:r>
        <w:t>longer</w:t>
      </w:r>
      <w:r>
        <w:rPr>
          <w:spacing w:val="-12"/>
        </w:rPr>
        <w:t xml:space="preserve"> </w:t>
      </w:r>
      <w:r>
        <w:t>be</w:t>
      </w:r>
      <w:r>
        <w:rPr>
          <w:spacing w:val="-11"/>
        </w:rPr>
        <w:t xml:space="preserve"> </w:t>
      </w:r>
      <w:r>
        <w:t>obligated</w:t>
      </w:r>
      <w:r>
        <w:rPr>
          <w:spacing w:val="-11"/>
        </w:rPr>
        <w:t xml:space="preserve"> </w:t>
      </w:r>
      <w:r>
        <w:t>to</w:t>
      </w:r>
      <w:r>
        <w:rPr>
          <w:spacing w:val="-11"/>
        </w:rPr>
        <w:t xml:space="preserve"> </w:t>
      </w:r>
      <w:r>
        <w:t>make Support Payments if the practice does not meet the PCMH definition, the health plan will not be precluded from doing so. Final decisions on whether a practice that doesn’t meet the definition shall receive support payments is the responsibility of the payer. Payers reserve the right to do review the accuracy of practice self-attestation for the purposes of determining</w:t>
      </w:r>
      <w:r>
        <w:rPr>
          <w:spacing w:val="-8"/>
        </w:rPr>
        <w:t xml:space="preserve"> </w:t>
      </w:r>
      <w:r>
        <w:t>payments.</w:t>
      </w:r>
    </w:p>
    <w:p w:rsidR="001F005F" w:rsidRDefault="001F005F" w:rsidP="001F005F">
      <w:pPr>
        <w:pStyle w:val="BodyText"/>
        <w:spacing w:before="4"/>
        <w:ind w:left="0" w:firstLine="0"/>
        <w:rPr>
          <w:sz w:val="25"/>
        </w:rPr>
      </w:pPr>
    </w:p>
    <w:p w:rsidR="001F005F" w:rsidRDefault="001F005F" w:rsidP="001F005F">
      <w:pPr>
        <w:pStyle w:val="Heading1"/>
        <w:numPr>
          <w:ilvl w:val="3"/>
          <w:numId w:val="1"/>
        </w:numPr>
        <w:tabs>
          <w:tab w:val="left" w:pos="821"/>
        </w:tabs>
        <w:ind w:hanging="360"/>
        <w:jc w:val="left"/>
      </w:pPr>
      <w:r>
        <w:t>Can practices resubmit data to meet the PCMH</w:t>
      </w:r>
      <w:r>
        <w:rPr>
          <w:spacing w:val="-12"/>
        </w:rPr>
        <w:t xml:space="preserve"> </w:t>
      </w:r>
      <w:r>
        <w:t>definition?</w:t>
      </w:r>
    </w:p>
    <w:p w:rsidR="001F005F" w:rsidRDefault="001F005F" w:rsidP="001F005F">
      <w:pPr>
        <w:pStyle w:val="ListParagraph"/>
        <w:numPr>
          <w:ilvl w:val="4"/>
          <w:numId w:val="1"/>
        </w:numPr>
        <w:tabs>
          <w:tab w:val="left" w:pos="1541"/>
        </w:tabs>
        <w:spacing w:before="40" w:line="276" w:lineRule="auto"/>
        <w:ind w:right="114"/>
        <w:jc w:val="both"/>
      </w:pPr>
      <w:r>
        <w:t>Practices may submit data annually to OHIC, as described in the response to question 3, above. Any questions about reporting or resubmitting data can be directed to</w:t>
      </w:r>
      <w:r>
        <w:rPr>
          <w:color w:val="0000FF"/>
          <w:spacing w:val="-2"/>
        </w:rPr>
        <w:t xml:space="preserve"> </w:t>
      </w:r>
      <w:hyperlink r:id="rId5">
        <w:r>
          <w:rPr>
            <w:color w:val="0000FF"/>
            <w:u w:val="single" w:color="0000FF"/>
          </w:rPr>
          <w:t>cory.king@ohic.ri.gov</w:t>
        </w:r>
      </w:hyperlink>
    </w:p>
    <w:p w:rsidR="001F005F" w:rsidRDefault="001F005F" w:rsidP="001F005F">
      <w:pPr>
        <w:pStyle w:val="BodyText"/>
        <w:spacing w:before="6"/>
        <w:ind w:left="0" w:firstLine="0"/>
        <w:rPr>
          <w:sz w:val="17"/>
        </w:rPr>
      </w:pPr>
    </w:p>
    <w:p w:rsidR="001F005F" w:rsidRDefault="001F005F" w:rsidP="001F005F">
      <w:pPr>
        <w:pStyle w:val="Heading1"/>
        <w:numPr>
          <w:ilvl w:val="3"/>
          <w:numId w:val="1"/>
        </w:numPr>
        <w:tabs>
          <w:tab w:val="left" w:pos="821"/>
        </w:tabs>
        <w:spacing w:before="97" w:line="276" w:lineRule="auto"/>
        <w:ind w:right="116" w:hanging="360"/>
        <w:jc w:val="left"/>
      </w:pPr>
      <w:r>
        <w:t>Once a practice is recognized as a PCMH, will it always be recognized as a PCMH by OHIC?</w:t>
      </w:r>
    </w:p>
    <w:p w:rsidR="001F005F" w:rsidRDefault="001F005F" w:rsidP="001F005F">
      <w:pPr>
        <w:pStyle w:val="ListParagraph"/>
        <w:numPr>
          <w:ilvl w:val="4"/>
          <w:numId w:val="1"/>
        </w:numPr>
        <w:tabs>
          <w:tab w:val="left" w:pos="1541"/>
        </w:tabs>
        <w:spacing w:before="3"/>
      </w:pPr>
      <w:r>
        <w:t>No. A practice must meet each element of the definition of PCMH</w:t>
      </w:r>
      <w:r>
        <w:rPr>
          <w:spacing w:val="-13"/>
        </w:rPr>
        <w:t xml:space="preserve"> </w:t>
      </w:r>
      <w:r>
        <w:t>annually.</w:t>
      </w:r>
    </w:p>
    <w:p w:rsidR="000A6FA9" w:rsidRDefault="000A6FA9"/>
    <w:sectPr w:rsidR="000A6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756EF"/>
    <w:multiLevelType w:val="hybridMultilevel"/>
    <w:tmpl w:val="78DC2820"/>
    <w:lvl w:ilvl="0" w:tplc="87CC2FAA">
      <w:start w:val="1"/>
      <w:numFmt w:val="decimal"/>
      <w:lvlText w:val="%1."/>
      <w:lvlJc w:val="left"/>
      <w:pPr>
        <w:ind w:left="820" w:hanging="360"/>
        <w:jc w:val="left"/>
      </w:pPr>
      <w:rPr>
        <w:rFonts w:ascii="Book Antiqua" w:eastAsia="Book Antiqua" w:hAnsi="Book Antiqua" w:cs="Book Antiqua" w:hint="default"/>
        <w:b/>
        <w:bCs/>
        <w:w w:val="100"/>
        <w:sz w:val="22"/>
        <w:szCs w:val="22"/>
        <w:lang w:val="en-US" w:eastAsia="en-US" w:bidi="en-US"/>
      </w:rPr>
    </w:lvl>
    <w:lvl w:ilvl="1" w:tplc="EA6CCA9E">
      <w:start w:val="1"/>
      <w:numFmt w:val="lowerLetter"/>
      <w:lvlText w:val="%2."/>
      <w:lvlJc w:val="left"/>
      <w:pPr>
        <w:ind w:left="1540" w:hanging="360"/>
        <w:jc w:val="left"/>
      </w:pPr>
      <w:rPr>
        <w:rFonts w:ascii="Book Antiqua" w:eastAsia="Book Antiqua" w:hAnsi="Book Antiqua" w:cs="Book Antiqua" w:hint="default"/>
        <w:w w:val="100"/>
        <w:sz w:val="22"/>
        <w:szCs w:val="22"/>
        <w:lang w:val="en-US" w:eastAsia="en-US" w:bidi="en-US"/>
      </w:rPr>
    </w:lvl>
    <w:lvl w:ilvl="2" w:tplc="BD7CF7C0">
      <w:start w:val="1"/>
      <w:numFmt w:val="lowerRoman"/>
      <w:lvlText w:val="%3."/>
      <w:lvlJc w:val="left"/>
      <w:pPr>
        <w:ind w:left="2260" w:hanging="300"/>
        <w:jc w:val="right"/>
      </w:pPr>
      <w:rPr>
        <w:rFonts w:ascii="Book Antiqua" w:eastAsia="Book Antiqua" w:hAnsi="Book Antiqua" w:cs="Book Antiqua" w:hint="default"/>
        <w:w w:val="100"/>
        <w:sz w:val="22"/>
        <w:szCs w:val="22"/>
        <w:lang w:val="en-US" w:eastAsia="en-US" w:bidi="en-US"/>
      </w:rPr>
    </w:lvl>
    <w:lvl w:ilvl="3" w:tplc="58A6756E">
      <w:start w:val="1"/>
      <w:numFmt w:val="decimal"/>
      <w:lvlText w:val="%4."/>
      <w:lvlJc w:val="left"/>
      <w:pPr>
        <w:ind w:left="820" w:hanging="361"/>
        <w:jc w:val="right"/>
      </w:pPr>
      <w:rPr>
        <w:rFonts w:ascii="Book Antiqua" w:eastAsia="Book Antiqua" w:hAnsi="Book Antiqua" w:cs="Book Antiqua"/>
        <w:w w:val="100"/>
        <w:lang w:val="en-US" w:eastAsia="en-US" w:bidi="en-US"/>
      </w:rPr>
    </w:lvl>
    <w:lvl w:ilvl="4" w:tplc="9CA4B78E">
      <w:start w:val="1"/>
      <w:numFmt w:val="lowerLetter"/>
      <w:lvlText w:val="%5."/>
      <w:lvlJc w:val="left"/>
      <w:pPr>
        <w:ind w:left="1540" w:hanging="360"/>
        <w:jc w:val="left"/>
      </w:pPr>
      <w:rPr>
        <w:rFonts w:ascii="Book Antiqua" w:eastAsia="Book Antiqua" w:hAnsi="Book Antiqua" w:cs="Book Antiqua" w:hint="default"/>
        <w:w w:val="100"/>
        <w:sz w:val="22"/>
        <w:szCs w:val="22"/>
        <w:lang w:val="en-US" w:eastAsia="en-US" w:bidi="en-US"/>
      </w:rPr>
    </w:lvl>
    <w:lvl w:ilvl="5" w:tplc="4238C3B6">
      <w:numFmt w:val="bullet"/>
      <w:lvlText w:val=""/>
      <w:lvlJc w:val="left"/>
      <w:pPr>
        <w:ind w:left="1720" w:hanging="360"/>
      </w:pPr>
      <w:rPr>
        <w:rFonts w:ascii="Symbol" w:eastAsia="Symbol" w:hAnsi="Symbol" w:cs="Symbol" w:hint="default"/>
        <w:w w:val="100"/>
        <w:sz w:val="22"/>
        <w:szCs w:val="22"/>
        <w:lang w:val="en-US" w:eastAsia="en-US" w:bidi="en-US"/>
      </w:rPr>
    </w:lvl>
    <w:lvl w:ilvl="6" w:tplc="BB4A88B2">
      <w:numFmt w:val="bullet"/>
      <w:lvlText w:val="•"/>
      <w:lvlJc w:val="left"/>
      <w:pPr>
        <w:ind w:left="5180" w:hanging="360"/>
      </w:pPr>
      <w:rPr>
        <w:rFonts w:hint="default"/>
        <w:lang w:val="en-US" w:eastAsia="en-US" w:bidi="en-US"/>
      </w:rPr>
    </w:lvl>
    <w:lvl w:ilvl="7" w:tplc="C0063694">
      <w:numFmt w:val="bullet"/>
      <w:lvlText w:val="•"/>
      <w:lvlJc w:val="left"/>
      <w:pPr>
        <w:ind w:left="6280" w:hanging="360"/>
      </w:pPr>
      <w:rPr>
        <w:rFonts w:hint="default"/>
        <w:lang w:val="en-US" w:eastAsia="en-US" w:bidi="en-US"/>
      </w:rPr>
    </w:lvl>
    <w:lvl w:ilvl="8" w:tplc="27AE844C">
      <w:numFmt w:val="bullet"/>
      <w:lvlText w:val="•"/>
      <w:lvlJc w:val="left"/>
      <w:pPr>
        <w:ind w:left="738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05F"/>
    <w:rsid w:val="0009462D"/>
    <w:rsid w:val="000A6FA9"/>
    <w:rsid w:val="001A749F"/>
    <w:rsid w:val="001F005F"/>
    <w:rsid w:val="00595FBC"/>
    <w:rsid w:val="00C634FE"/>
    <w:rsid w:val="00EE40EF"/>
    <w:rsid w:val="00F52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C78FB"/>
  <w15:chartTrackingRefBased/>
  <w15:docId w15:val="{3F833CDA-3969-4694-82C3-0CDEE36D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F005F"/>
    <w:pPr>
      <w:widowControl w:val="0"/>
      <w:autoSpaceDE w:val="0"/>
      <w:autoSpaceDN w:val="0"/>
      <w:spacing w:after="0" w:line="240" w:lineRule="auto"/>
    </w:pPr>
    <w:rPr>
      <w:rFonts w:ascii="Book Antiqua" w:eastAsia="Book Antiqua" w:hAnsi="Book Antiqua" w:cs="Book Antiqua"/>
      <w:lang w:bidi="en-US"/>
    </w:rPr>
  </w:style>
  <w:style w:type="paragraph" w:styleId="Heading1">
    <w:name w:val="heading 1"/>
    <w:basedOn w:val="Normal"/>
    <w:link w:val="Heading1Char"/>
    <w:uiPriority w:val="1"/>
    <w:qFormat/>
    <w:rsid w:val="001F005F"/>
    <w:pPr>
      <w:ind w:left="82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F005F"/>
    <w:rPr>
      <w:rFonts w:ascii="Book Antiqua" w:eastAsia="Book Antiqua" w:hAnsi="Book Antiqua" w:cs="Book Antiqua"/>
      <w:b/>
      <w:bCs/>
      <w:lang w:bidi="en-US"/>
    </w:rPr>
  </w:style>
  <w:style w:type="paragraph" w:styleId="BodyText">
    <w:name w:val="Body Text"/>
    <w:basedOn w:val="Normal"/>
    <w:link w:val="BodyTextChar"/>
    <w:uiPriority w:val="1"/>
    <w:qFormat/>
    <w:rsid w:val="001F005F"/>
    <w:pPr>
      <w:ind w:left="1540" w:hanging="360"/>
    </w:pPr>
  </w:style>
  <w:style w:type="character" w:customStyle="1" w:styleId="BodyTextChar">
    <w:name w:val="Body Text Char"/>
    <w:basedOn w:val="DefaultParagraphFont"/>
    <w:link w:val="BodyText"/>
    <w:uiPriority w:val="1"/>
    <w:rsid w:val="001F005F"/>
    <w:rPr>
      <w:rFonts w:ascii="Book Antiqua" w:eastAsia="Book Antiqua" w:hAnsi="Book Antiqua" w:cs="Book Antiqua"/>
      <w:lang w:bidi="en-US"/>
    </w:rPr>
  </w:style>
  <w:style w:type="paragraph" w:styleId="ListParagraph">
    <w:name w:val="List Paragraph"/>
    <w:basedOn w:val="Normal"/>
    <w:uiPriority w:val="1"/>
    <w:qFormat/>
    <w:rsid w:val="001F005F"/>
    <w:pPr>
      <w:ind w:left="15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ry.king@ohic.r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Campbell</dc:creator>
  <cp:keywords/>
  <dc:description/>
  <cp:lastModifiedBy>Karner, Carolyn</cp:lastModifiedBy>
  <cp:revision>2</cp:revision>
  <dcterms:created xsi:type="dcterms:W3CDTF">2018-09-05T13:53:00Z</dcterms:created>
  <dcterms:modified xsi:type="dcterms:W3CDTF">2018-09-05T13:53:00Z</dcterms:modified>
</cp:coreProperties>
</file>