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2C4" w:rsidRDefault="00C306A6">
      <w:pPr>
        <w:spacing w:before="36"/>
        <w:ind w:left="3012"/>
        <w:rPr>
          <w:sz w:val="28"/>
        </w:rPr>
      </w:pPr>
      <w:bookmarkStart w:id="0" w:name="_GoBack"/>
      <w:bookmarkEnd w:id="0"/>
      <w:r>
        <w:rPr>
          <w:sz w:val="28"/>
        </w:rPr>
        <w:t>Frequently Asked Questions</w:t>
      </w:r>
    </w:p>
    <w:p w:rsidR="007C72C4" w:rsidRDefault="00C306A6">
      <w:pPr>
        <w:pStyle w:val="Heading1"/>
        <w:numPr>
          <w:ilvl w:val="0"/>
          <w:numId w:val="4"/>
        </w:numPr>
        <w:tabs>
          <w:tab w:val="left" w:pos="821"/>
        </w:tabs>
        <w:spacing w:before="251" w:line="276" w:lineRule="auto"/>
        <w:ind w:right="116"/>
      </w:pPr>
      <w:r>
        <w:t>Why is the Health Insurance Commissioner promoting primary care Patient-Centered Medical Homes</w:t>
      </w:r>
      <w:r>
        <w:rPr>
          <w:spacing w:val="-2"/>
        </w:rPr>
        <w:t xml:space="preserve"> </w:t>
      </w:r>
      <w:r>
        <w:t>(PCMHs)?</w:t>
      </w:r>
    </w:p>
    <w:p w:rsidR="007C72C4" w:rsidRDefault="00C306A6">
      <w:pPr>
        <w:pStyle w:val="ListParagraph"/>
        <w:numPr>
          <w:ilvl w:val="1"/>
          <w:numId w:val="4"/>
        </w:numPr>
        <w:tabs>
          <w:tab w:val="left" w:pos="1541"/>
        </w:tabs>
        <w:spacing w:line="276" w:lineRule="auto"/>
        <w:ind w:right="112"/>
        <w:jc w:val="both"/>
        <w:rPr>
          <w:sz w:val="14"/>
        </w:rPr>
      </w:pPr>
      <w:r>
        <w:t xml:space="preserve">The Health Insurance Commissioner is charged by the legislature to address the affordability of health care in Rhode Island and OHIC’s initiatives have emphasized the need for a strong primary care infrastructure. Since 2010, OHIC directed health plans to </w:t>
      </w:r>
      <w:r>
        <w:t>increase and then sustain the proportion of total medical spending dedicated to primary care, without adding to the overall cost of health insurance premiums. Since 2011, OHIC has been promoting PCMH transformation through the multi-payer supported Care Tr</w:t>
      </w:r>
      <w:r>
        <w:t>ansformation Collaborative-RI (CTC-RI)</w:t>
      </w:r>
      <w:r>
        <w:rPr>
          <w:spacing w:val="-3"/>
        </w:rPr>
        <w:t xml:space="preserve"> </w:t>
      </w:r>
      <w:r>
        <w:t>initiative.</w:t>
      </w:r>
      <w:r>
        <w:rPr>
          <w:position w:val="5"/>
          <w:sz w:val="14"/>
        </w:rPr>
        <w:t>1</w:t>
      </w:r>
    </w:p>
    <w:p w:rsidR="007C72C4" w:rsidRDefault="00C306A6">
      <w:pPr>
        <w:pStyle w:val="ListParagraph"/>
        <w:numPr>
          <w:ilvl w:val="1"/>
          <w:numId w:val="4"/>
        </w:numPr>
        <w:tabs>
          <w:tab w:val="left" w:pos="1541"/>
        </w:tabs>
        <w:spacing w:before="1" w:line="276" w:lineRule="auto"/>
        <w:ind w:right="114"/>
        <w:jc w:val="both"/>
        <w:rPr>
          <w:sz w:val="14"/>
        </w:rPr>
      </w:pPr>
      <w:r>
        <w:t>There is substantial evidence that primary care practices that function as PCMHs reduce total health care costs by improving the quality of care provided and by better coordinating and managing</w:t>
      </w:r>
      <w:r>
        <w:rPr>
          <w:spacing w:val="-5"/>
        </w:rPr>
        <w:t xml:space="preserve"> </w:t>
      </w:r>
      <w:r>
        <w:t>care.</w:t>
      </w:r>
      <w:r>
        <w:rPr>
          <w:position w:val="5"/>
          <w:sz w:val="14"/>
        </w:rPr>
        <w:t>2</w:t>
      </w:r>
    </w:p>
    <w:p w:rsidR="007C72C4" w:rsidRDefault="00C306A6">
      <w:pPr>
        <w:pStyle w:val="ListParagraph"/>
        <w:numPr>
          <w:ilvl w:val="1"/>
          <w:numId w:val="4"/>
        </w:numPr>
        <w:tabs>
          <w:tab w:val="left" w:pos="1541"/>
        </w:tabs>
        <w:spacing w:line="276" w:lineRule="auto"/>
        <w:ind w:right="115"/>
        <w:jc w:val="both"/>
      </w:pPr>
      <w:r>
        <w:t xml:space="preserve">To </w:t>
      </w:r>
      <w:r>
        <w:t>expand the PCMH transformation process in the state, OHIC is now requiring commercial health plans to contract with more PCMHs each</w:t>
      </w:r>
      <w:r>
        <w:rPr>
          <w:spacing w:val="-12"/>
        </w:rPr>
        <w:t xml:space="preserve"> </w:t>
      </w:r>
      <w:r>
        <w:t>year.</w:t>
      </w:r>
    </w:p>
    <w:p w:rsidR="007C72C4" w:rsidRDefault="007C72C4">
      <w:pPr>
        <w:pStyle w:val="BodyText"/>
        <w:spacing w:before="3"/>
        <w:ind w:left="0" w:firstLine="0"/>
        <w:rPr>
          <w:sz w:val="25"/>
        </w:rPr>
      </w:pPr>
    </w:p>
    <w:p w:rsidR="007C72C4" w:rsidRDefault="00C306A6">
      <w:pPr>
        <w:pStyle w:val="Heading1"/>
        <w:numPr>
          <w:ilvl w:val="0"/>
          <w:numId w:val="4"/>
        </w:numPr>
        <w:tabs>
          <w:tab w:val="left" w:pos="821"/>
        </w:tabs>
      </w:pPr>
      <w:r>
        <w:t>What are the commercial health plans’ targets for PCMH</w:t>
      </w:r>
      <w:r>
        <w:rPr>
          <w:spacing w:val="-8"/>
        </w:rPr>
        <w:t xml:space="preserve"> </w:t>
      </w:r>
      <w:r>
        <w:t>expansion?</w:t>
      </w:r>
    </w:p>
    <w:p w:rsidR="007C72C4" w:rsidRDefault="00C306A6">
      <w:pPr>
        <w:pStyle w:val="ListParagraph"/>
        <w:numPr>
          <w:ilvl w:val="1"/>
          <w:numId w:val="4"/>
        </w:numPr>
        <w:tabs>
          <w:tab w:val="left" w:pos="1541"/>
        </w:tabs>
        <w:spacing w:before="40"/>
      </w:pPr>
      <w:r>
        <w:t>Health</w:t>
      </w:r>
      <w:r>
        <w:rPr>
          <w:spacing w:val="12"/>
        </w:rPr>
        <w:t xml:space="preserve"> </w:t>
      </w:r>
      <w:r>
        <w:t>plans</w:t>
      </w:r>
      <w:r>
        <w:rPr>
          <w:spacing w:val="11"/>
        </w:rPr>
        <w:t xml:space="preserve"> </w:t>
      </w:r>
      <w:r>
        <w:t>subject</w:t>
      </w:r>
      <w:r>
        <w:rPr>
          <w:spacing w:val="10"/>
        </w:rPr>
        <w:t xml:space="preserve"> </w:t>
      </w:r>
      <w:r>
        <w:t>to</w:t>
      </w:r>
      <w:r>
        <w:rPr>
          <w:spacing w:val="10"/>
        </w:rPr>
        <w:t xml:space="preserve"> </w:t>
      </w:r>
      <w:r>
        <w:t>the</w:t>
      </w:r>
      <w:r>
        <w:rPr>
          <w:spacing w:val="11"/>
        </w:rPr>
        <w:t xml:space="preserve"> </w:t>
      </w:r>
      <w:r>
        <w:t>Office’s</w:t>
      </w:r>
      <w:r>
        <w:rPr>
          <w:spacing w:val="8"/>
        </w:rPr>
        <w:t xml:space="preserve"> </w:t>
      </w:r>
      <w:r>
        <w:t>Affordability</w:t>
      </w:r>
      <w:r>
        <w:rPr>
          <w:spacing w:val="8"/>
        </w:rPr>
        <w:t xml:space="preserve"> </w:t>
      </w:r>
      <w:r>
        <w:t>Standards</w:t>
      </w:r>
      <w:r>
        <w:rPr>
          <w:spacing w:val="8"/>
        </w:rPr>
        <w:t xml:space="preserve"> </w:t>
      </w:r>
      <w:r>
        <w:t>are</w:t>
      </w:r>
      <w:r>
        <w:rPr>
          <w:spacing w:val="11"/>
        </w:rPr>
        <w:t xml:space="preserve"> </w:t>
      </w:r>
      <w:r>
        <w:t>required</w:t>
      </w:r>
      <w:r>
        <w:rPr>
          <w:spacing w:val="8"/>
        </w:rPr>
        <w:t xml:space="preserve"> </w:t>
      </w:r>
      <w:r>
        <w:t>to</w:t>
      </w:r>
      <w:r>
        <w:rPr>
          <w:spacing w:val="10"/>
        </w:rPr>
        <w:t xml:space="preserve"> </w:t>
      </w:r>
      <w:r>
        <w:t>have</w:t>
      </w:r>
    </w:p>
    <w:p w:rsidR="007C72C4" w:rsidRDefault="00C306A6">
      <w:pPr>
        <w:pStyle w:val="BodyText"/>
        <w:spacing w:before="41"/>
        <w:ind w:firstLine="0"/>
      </w:pPr>
      <w:r>
        <w:t>80% of their contracted clinicians operating in a PCMH by the end of 2019.</w:t>
      </w:r>
    </w:p>
    <w:p w:rsidR="007C72C4" w:rsidRDefault="007C72C4">
      <w:pPr>
        <w:pStyle w:val="BodyText"/>
        <w:spacing w:before="7"/>
        <w:ind w:left="0" w:firstLine="0"/>
        <w:rPr>
          <w:sz w:val="28"/>
        </w:rPr>
      </w:pPr>
    </w:p>
    <w:p w:rsidR="007C72C4" w:rsidRDefault="00C306A6">
      <w:pPr>
        <w:pStyle w:val="Heading1"/>
        <w:numPr>
          <w:ilvl w:val="0"/>
          <w:numId w:val="4"/>
        </w:numPr>
        <w:tabs>
          <w:tab w:val="left" w:pos="875"/>
          <w:tab w:val="left" w:pos="876"/>
        </w:tabs>
        <w:ind w:left="875" w:hanging="415"/>
      </w:pPr>
      <w:r>
        <w:t>What is the OHIC definition of a</w:t>
      </w:r>
      <w:r>
        <w:rPr>
          <w:spacing w:val="-5"/>
        </w:rPr>
        <w:t xml:space="preserve"> </w:t>
      </w:r>
      <w:r>
        <w:t>PCMH?</w:t>
      </w:r>
    </w:p>
    <w:p w:rsidR="007C72C4" w:rsidRDefault="00C306A6">
      <w:pPr>
        <w:pStyle w:val="ListParagraph"/>
        <w:numPr>
          <w:ilvl w:val="1"/>
          <w:numId w:val="4"/>
        </w:numPr>
        <w:tabs>
          <w:tab w:val="left" w:pos="1541"/>
        </w:tabs>
        <w:spacing w:before="41" w:line="276" w:lineRule="auto"/>
        <w:ind w:right="113"/>
        <w:jc w:val="both"/>
      </w:pPr>
      <w:r>
        <w:t>OHIC,</w:t>
      </w:r>
      <w:r>
        <w:rPr>
          <w:spacing w:val="-11"/>
        </w:rPr>
        <w:t xml:space="preserve"> </w:t>
      </w:r>
      <w:r>
        <w:t>with</w:t>
      </w:r>
      <w:r>
        <w:rPr>
          <w:spacing w:val="-9"/>
        </w:rPr>
        <w:t xml:space="preserve"> </w:t>
      </w:r>
      <w:r>
        <w:t>physician</w:t>
      </w:r>
      <w:r>
        <w:rPr>
          <w:spacing w:val="-10"/>
        </w:rPr>
        <w:t xml:space="preserve"> </w:t>
      </w:r>
      <w:r>
        <w:t>and</w:t>
      </w:r>
      <w:r>
        <w:rPr>
          <w:spacing w:val="-11"/>
        </w:rPr>
        <w:t xml:space="preserve"> </w:t>
      </w:r>
      <w:r>
        <w:t>insurer</w:t>
      </w:r>
      <w:r>
        <w:rPr>
          <w:spacing w:val="-11"/>
        </w:rPr>
        <w:t xml:space="preserve"> </w:t>
      </w:r>
      <w:r>
        <w:t>guidance,</w:t>
      </w:r>
      <w:r>
        <w:rPr>
          <w:spacing w:val="-8"/>
        </w:rPr>
        <w:t xml:space="preserve"> </w:t>
      </w:r>
      <w:r>
        <w:t>has</w:t>
      </w:r>
      <w:r>
        <w:rPr>
          <w:spacing w:val="-11"/>
        </w:rPr>
        <w:t xml:space="preserve"> </w:t>
      </w:r>
      <w:r>
        <w:t>developed</w:t>
      </w:r>
      <w:r>
        <w:rPr>
          <w:spacing w:val="-11"/>
        </w:rPr>
        <w:t xml:space="preserve"> </w:t>
      </w:r>
      <w:r>
        <w:t>a</w:t>
      </w:r>
      <w:r>
        <w:rPr>
          <w:spacing w:val="-11"/>
        </w:rPr>
        <w:t xml:space="preserve"> </w:t>
      </w:r>
      <w:r>
        <w:t>three-part</w:t>
      </w:r>
      <w:r>
        <w:rPr>
          <w:spacing w:val="-11"/>
        </w:rPr>
        <w:t xml:space="preserve"> </w:t>
      </w:r>
      <w:r>
        <w:t>definition of PCMH that requires demonstration of practice transformation, cost management initiatives and clinical</w:t>
      </w:r>
      <w:r>
        <w:rPr>
          <w:spacing w:val="-3"/>
        </w:rPr>
        <w:t xml:space="preserve"> </w:t>
      </w:r>
      <w:r>
        <w:t>improvement.</w:t>
      </w:r>
    </w:p>
    <w:p w:rsidR="007C72C4" w:rsidRDefault="00C306A6">
      <w:pPr>
        <w:pStyle w:val="ListParagraph"/>
        <w:numPr>
          <w:ilvl w:val="1"/>
          <w:numId w:val="4"/>
        </w:numPr>
        <w:tabs>
          <w:tab w:val="left" w:pos="1541"/>
        </w:tabs>
      </w:pPr>
      <w:r>
        <w:rPr>
          <w:u w:val="single"/>
        </w:rPr>
        <w:t>For recognition in 2019, to be considered a PCMH, a practice</w:t>
      </w:r>
      <w:r>
        <w:rPr>
          <w:spacing w:val="-7"/>
          <w:u w:val="single"/>
        </w:rPr>
        <w:t xml:space="preserve"> </w:t>
      </w:r>
      <w:r>
        <w:rPr>
          <w:u w:val="single"/>
        </w:rPr>
        <w:t>must:</w:t>
      </w:r>
    </w:p>
    <w:p w:rsidR="007C72C4" w:rsidRDefault="00C306A6">
      <w:pPr>
        <w:pStyle w:val="ListParagraph"/>
        <w:numPr>
          <w:ilvl w:val="2"/>
          <w:numId w:val="4"/>
        </w:numPr>
        <w:tabs>
          <w:tab w:val="left" w:pos="2261"/>
        </w:tabs>
        <w:spacing w:before="41" w:line="276" w:lineRule="auto"/>
        <w:ind w:right="114"/>
        <w:jc w:val="both"/>
      </w:pPr>
      <w:r>
        <w:t>Achieve NCQA PCMH Recognition, or be participating in a form</w:t>
      </w:r>
      <w:r>
        <w:t>al transformation</w:t>
      </w:r>
      <w:r>
        <w:rPr>
          <w:spacing w:val="-16"/>
        </w:rPr>
        <w:t xml:space="preserve"> </w:t>
      </w:r>
      <w:r>
        <w:t>initiative</w:t>
      </w:r>
      <w:r>
        <w:rPr>
          <w:position w:val="5"/>
          <w:sz w:val="14"/>
        </w:rPr>
        <w:t>3</w:t>
      </w:r>
      <w:r>
        <w:rPr>
          <w:spacing w:val="2"/>
          <w:position w:val="5"/>
          <w:sz w:val="14"/>
        </w:rPr>
        <w:t xml:space="preserve"> </w:t>
      </w:r>
      <w:r>
        <w:t>(e.g.,</w:t>
      </w:r>
      <w:r>
        <w:rPr>
          <w:spacing w:val="-15"/>
        </w:rPr>
        <w:t xml:space="preserve"> </w:t>
      </w:r>
      <w:r>
        <w:t>CTC-RI,</w:t>
      </w:r>
      <w:r>
        <w:rPr>
          <w:spacing w:val="-17"/>
        </w:rPr>
        <w:t xml:space="preserve"> </w:t>
      </w:r>
      <w:r>
        <w:t>PCMH-Kids,</w:t>
      </w:r>
      <w:r>
        <w:rPr>
          <w:spacing w:val="-15"/>
        </w:rPr>
        <w:t xml:space="preserve"> </w:t>
      </w:r>
      <w:r>
        <w:t>TCPI,</w:t>
      </w:r>
      <w:r>
        <w:rPr>
          <w:spacing w:val="-16"/>
        </w:rPr>
        <w:t xml:space="preserve"> </w:t>
      </w:r>
      <w:r>
        <w:t>or</w:t>
      </w:r>
      <w:r>
        <w:rPr>
          <w:spacing w:val="-16"/>
        </w:rPr>
        <w:t xml:space="preserve"> </w:t>
      </w:r>
      <w:r>
        <w:t>an</w:t>
      </w:r>
      <w:r>
        <w:rPr>
          <w:spacing w:val="-16"/>
        </w:rPr>
        <w:t xml:space="preserve"> </w:t>
      </w:r>
      <w:r>
        <w:t>approved payer- or ACO-sponsored transformation</w:t>
      </w:r>
      <w:r>
        <w:rPr>
          <w:spacing w:val="-1"/>
        </w:rPr>
        <w:t xml:space="preserve"> </w:t>
      </w:r>
      <w:r>
        <w:t>program).</w:t>
      </w:r>
    </w:p>
    <w:p w:rsidR="007C72C4" w:rsidRDefault="007C72C4">
      <w:pPr>
        <w:pStyle w:val="BodyText"/>
        <w:ind w:left="0" w:firstLine="0"/>
        <w:rPr>
          <w:sz w:val="20"/>
        </w:rPr>
      </w:pPr>
    </w:p>
    <w:p w:rsidR="007C72C4" w:rsidRDefault="007C72C4">
      <w:pPr>
        <w:pStyle w:val="BodyText"/>
        <w:ind w:left="0" w:firstLine="0"/>
        <w:rPr>
          <w:sz w:val="20"/>
        </w:rPr>
      </w:pPr>
    </w:p>
    <w:p w:rsidR="007C72C4" w:rsidRDefault="007C72C4">
      <w:pPr>
        <w:pStyle w:val="BodyText"/>
        <w:ind w:left="0" w:firstLine="0"/>
        <w:rPr>
          <w:sz w:val="20"/>
        </w:rPr>
      </w:pPr>
    </w:p>
    <w:p w:rsidR="007C72C4" w:rsidRDefault="00587741">
      <w:pPr>
        <w:pStyle w:val="BodyText"/>
        <w:ind w:left="0" w:firstLine="0"/>
        <w:rPr>
          <w:sz w:val="15"/>
        </w:rPr>
      </w:pPr>
      <w:r>
        <w:rPr>
          <w:noProof/>
        </w:rPr>
        <mc:AlternateContent>
          <mc:Choice Requires="wps">
            <w:drawing>
              <wp:anchor distT="0" distB="0" distL="0" distR="0" simplePos="0" relativeHeight="251656192" behindDoc="0" locked="0" layoutInCell="1" allowOverlap="1">
                <wp:simplePos x="0" y="0"/>
                <wp:positionH relativeFrom="page">
                  <wp:posOffset>914400</wp:posOffset>
                </wp:positionH>
                <wp:positionV relativeFrom="paragraph">
                  <wp:posOffset>148590</wp:posOffset>
                </wp:positionV>
                <wp:extent cx="1829435" cy="0"/>
                <wp:effectExtent l="9525" t="13335" r="8890" b="571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99742"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pt" to="216.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pq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" strokeweight=".72pt">
                <w10:wrap type="topAndBottom" anchorx="page"/>
              </v:line>
            </w:pict>
          </mc:Fallback>
        </mc:AlternateContent>
      </w:r>
    </w:p>
    <w:p w:rsidR="007C72C4" w:rsidRDefault="00C306A6">
      <w:pPr>
        <w:spacing w:before="67"/>
        <w:ind w:left="100"/>
        <w:rPr>
          <w:sz w:val="20"/>
        </w:rPr>
      </w:pPr>
      <w:r>
        <w:rPr>
          <w:rFonts w:ascii="Calibri"/>
          <w:position w:val="7"/>
          <w:sz w:val="13"/>
        </w:rPr>
        <w:t xml:space="preserve">1 </w:t>
      </w:r>
      <w:r>
        <w:rPr>
          <w:sz w:val="20"/>
        </w:rPr>
        <w:t xml:space="preserve">See: </w:t>
      </w:r>
      <w:hyperlink r:id="rId7">
        <w:r>
          <w:rPr>
            <w:color w:val="0000FF"/>
            <w:sz w:val="20"/>
            <w:u w:val="single" w:color="0000FF"/>
          </w:rPr>
          <w:t>www.ctc-ri.org/</w:t>
        </w:r>
      </w:hyperlink>
    </w:p>
    <w:p w:rsidR="007C72C4" w:rsidRDefault="00C306A6">
      <w:pPr>
        <w:spacing w:before="1"/>
        <w:ind w:left="100"/>
        <w:rPr>
          <w:sz w:val="20"/>
        </w:rPr>
      </w:pPr>
      <w:r>
        <w:rPr>
          <w:position w:val="5"/>
          <w:sz w:val="13"/>
        </w:rPr>
        <w:t xml:space="preserve">2 </w:t>
      </w:r>
      <w:r>
        <w:rPr>
          <w:sz w:val="20"/>
        </w:rPr>
        <w:t xml:space="preserve">See: </w:t>
      </w:r>
      <w:hyperlink r:id="rId8">
        <w:r>
          <w:rPr>
            <w:color w:val="0000FF"/>
            <w:sz w:val="20"/>
            <w:u w:val="single" w:color="0000FF"/>
          </w:rPr>
          <w:t>www.pcpcc.org/resource/patient-centered-medical-homes-impact-cost-and-quality-2014-2015</w:t>
        </w:r>
      </w:hyperlink>
    </w:p>
    <w:p w:rsidR="007C72C4" w:rsidRDefault="00C306A6">
      <w:pPr>
        <w:spacing w:before="1"/>
        <w:ind w:left="100" w:right="268"/>
        <w:rPr>
          <w:sz w:val="18"/>
        </w:rPr>
      </w:pPr>
      <w:r>
        <w:rPr>
          <w:position w:val="4"/>
          <w:sz w:val="12"/>
        </w:rPr>
        <w:t xml:space="preserve">3 </w:t>
      </w:r>
      <w:r>
        <w:rPr>
          <w:sz w:val="18"/>
        </w:rPr>
        <w:t>A formal PCMH transformation initiative is a structure</w:t>
      </w:r>
      <w:r>
        <w:rPr>
          <w:sz w:val="18"/>
        </w:rPr>
        <w:t>d training program for primary care providers and support staff with a pre-defined curriculum and technical assistance based on an evidence-based PCMH transformation model and designed to systematically build the skills within the practice to function as a</w:t>
      </w:r>
      <w:r>
        <w:rPr>
          <w:sz w:val="18"/>
        </w:rPr>
        <w:t xml:space="preserve"> PCMH.</w:t>
      </w:r>
    </w:p>
    <w:p w:rsidR="007C72C4" w:rsidRDefault="007C72C4">
      <w:pPr>
        <w:rPr>
          <w:sz w:val="18"/>
        </w:rPr>
        <w:sectPr w:rsidR="007C72C4">
          <w:headerReference w:type="default" r:id="rId9"/>
          <w:footerReference w:type="default" r:id="rId10"/>
          <w:type w:val="continuous"/>
          <w:pgSz w:w="12240" w:h="15840"/>
          <w:pgMar w:top="1700" w:right="1320" w:bottom="2380" w:left="1340" w:header="742" w:footer="2199" w:gutter="0"/>
          <w:pgNumType w:start="1"/>
          <w:cols w:space="720"/>
        </w:sectPr>
      </w:pPr>
    </w:p>
    <w:p w:rsidR="007C72C4" w:rsidRDefault="00C306A6">
      <w:pPr>
        <w:pStyle w:val="ListParagraph"/>
        <w:numPr>
          <w:ilvl w:val="3"/>
          <w:numId w:val="4"/>
        </w:numPr>
        <w:tabs>
          <w:tab w:val="left" w:pos="2981"/>
        </w:tabs>
        <w:spacing w:before="36" w:line="276" w:lineRule="auto"/>
        <w:ind w:left="2981" w:right="114"/>
        <w:jc w:val="both"/>
      </w:pPr>
      <w:r>
        <w:lastRenderedPageBreak/>
        <w:t xml:space="preserve">A practice </w:t>
      </w:r>
      <w:r>
        <w:rPr>
          <w:b/>
        </w:rPr>
        <w:t xml:space="preserve">does not </w:t>
      </w:r>
      <w:r>
        <w:t>need to verify and submit NCQA PCMH Recognition</w:t>
      </w:r>
      <w:r>
        <w:rPr>
          <w:spacing w:val="-8"/>
        </w:rPr>
        <w:t xml:space="preserve"> </w:t>
      </w:r>
      <w:r>
        <w:t>status</w:t>
      </w:r>
      <w:r>
        <w:rPr>
          <w:spacing w:val="-10"/>
        </w:rPr>
        <w:t xml:space="preserve"> </w:t>
      </w:r>
      <w:r>
        <w:t>because</w:t>
      </w:r>
      <w:r>
        <w:rPr>
          <w:spacing w:val="-7"/>
        </w:rPr>
        <w:t xml:space="preserve"> </w:t>
      </w:r>
      <w:r>
        <w:t>OHIC</w:t>
      </w:r>
      <w:r>
        <w:rPr>
          <w:spacing w:val="-10"/>
        </w:rPr>
        <w:t xml:space="preserve"> </w:t>
      </w:r>
      <w:r>
        <w:t>is</w:t>
      </w:r>
      <w:r>
        <w:rPr>
          <w:spacing w:val="-9"/>
        </w:rPr>
        <w:t xml:space="preserve"> </w:t>
      </w:r>
      <w:r>
        <w:t>getting</w:t>
      </w:r>
      <w:r>
        <w:rPr>
          <w:spacing w:val="-10"/>
        </w:rPr>
        <w:t xml:space="preserve"> </w:t>
      </w:r>
      <w:r>
        <w:t>all</w:t>
      </w:r>
      <w:r>
        <w:rPr>
          <w:spacing w:val="-7"/>
        </w:rPr>
        <w:t xml:space="preserve"> </w:t>
      </w:r>
      <w:r>
        <w:t>information</w:t>
      </w:r>
      <w:r>
        <w:rPr>
          <w:spacing w:val="-9"/>
        </w:rPr>
        <w:t xml:space="preserve"> </w:t>
      </w:r>
      <w:r>
        <w:t>it</w:t>
      </w:r>
      <w:r>
        <w:rPr>
          <w:spacing w:val="-9"/>
        </w:rPr>
        <w:t xml:space="preserve"> </w:t>
      </w:r>
      <w:r>
        <w:t>needs from NCQA and OHIC recognized formal transformation initiatives.</w:t>
      </w:r>
    </w:p>
    <w:p w:rsidR="007C72C4" w:rsidRDefault="00C306A6">
      <w:pPr>
        <w:pStyle w:val="ListParagraph"/>
        <w:numPr>
          <w:ilvl w:val="2"/>
          <w:numId w:val="4"/>
        </w:numPr>
        <w:tabs>
          <w:tab w:val="left" w:pos="2261"/>
        </w:tabs>
        <w:spacing w:line="276" w:lineRule="auto"/>
        <w:ind w:right="113" w:hanging="362"/>
        <w:jc w:val="both"/>
      </w:pPr>
      <w:r>
        <w:t>Submit quality performance measures data via</w:t>
      </w:r>
      <w:r>
        <w:rPr>
          <w:color w:val="0000FF"/>
        </w:rPr>
        <w:t xml:space="preserve"> </w:t>
      </w:r>
      <w:hyperlink r:id="rId11">
        <w:r>
          <w:rPr>
            <w:color w:val="0000FF"/>
            <w:u w:val="single" w:color="0000FF"/>
          </w:rPr>
          <w:t>a web surv</w:t>
        </w:r>
        <w:r>
          <w:rPr>
            <w:color w:val="0000FF"/>
            <w:u w:val="single" w:color="0000FF"/>
          </w:rPr>
          <w:t>ey</w:t>
        </w:r>
        <w:r>
          <w:rPr>
            <w:color w:val="0000FF"/>
          </w:rPr>
          <w:t xml:space="preserve"> </w:t>
        </w:r>
      </w:hyperlink>
      <w:r>
        <w:t xml:space="preserve">for all OHIC PCMH measures by </w:t>
      </w:r>
      <w:r>
        <w:rPr>
          <w:b/>
        </w:rPr>
        <w:t xml:space="preserve">October 15, 2018 </w:t>
      </w:r>
      <w:r>
        <w:t>and demonstrate the required level of improvement or performance</w:t>
      </w:r>
      <w:r>
        <w:rPr>
          <w:spacing w:val="-3"/>
        </w:rPr>
        <w:t xml:space="preserve"> </w:t>
      </w:r>
      <w:r>
        <w:t>achievement.</w:t>
      </w:r>
    </w:p>
    <w:p w:rsidR="007C72C4" w:rsidRDefault="00C306A6">
      <w:pPr>
        <w:pStyle w:val="ListParagraph"/>
        <w:numPr>
          <w:ilvl w:val="3"/>
          <w:numId w:val="4"/>
        </w:numPr>
        <w:tabs>
          <w:tab w:val="left" w:pos="2981"/>
        </w:tabs>
        <w:ind w:firstLine="1800"/>
        <w:jc w:val="left"/>
      </w:pPr>
      <w:r>
        <w:t>Report period will cover 10/1/2017 –</w:t>
      </w:r>
      <w:r>
        <w:rPr>
          <w:spacing w:val="-9"/>
        </w:rPr>
        <w:t xml:space="preserve"> </w:t>
      </w:r>
      <w:r>
        <w:t>9/30/2018.</w:t>
      </w:r>
    </w:p>
    <w:p w:rsidR="007C72C4" w:rsidRDefault="00C306A6">
      <w:pPr>
        <w:pStyle w:val="ListParagraph"/>
        <w:numPr>
          <w:ilvl w:val="3"/>
          <w:numId w:val="4"/>
        </w:numPr>
        <w:tabs>
          <w:tab w:val="left" w:pos="2981"/>
        </w:tabs>
        <w:spacing w:before="41"/>
        <w:ind w:firstLine="1800"/>
        <w:jc w:val="left"/>
      </w:pPr>
      <w:r>
        <w:t>First time reporting practices will report baseline data</w:t>
      </w:r>
      <w:r>
        <w:rPr>
          <w:spacing w:val="-13"/>
        </w:rPr>
        <w:t xml:space="preserve"> </w:t>
      </w:r>
      <w:r>
        <w:t>only.</w:t>
      </w:r>
    </w:p>
    <w:p w:rsidR="007C72C4" w:rsidRDefault="00C306A6">
      <w:pPr>
        <w:pStyle w:val="ListParagraph"/>
        <w:numPr>
          <w:ilvl w:val="3"/>
          <w:numId w:val="4"/>
        </w:numPr>
        <w:tabs>
          <w:tab w:val="left" w:pos="2981"/>
        </w:tabs>
        <w:spacing w:before="41"/>
        <w:ind w:firstLine="1800"/>
        <w:jc w:val="left"/>
      </w:pPr>
      <w:r>
        <w:t>New measures will</w:t>
      </w:r>
      <w:r>
        <w:t xml:space="preserve"> be</w:t>
      </w:r>
      <w:r>
        <w:rPr>
          <w:spacing w:val="-3"/>
        </w:rPr>
        <w:t xml:space="preserve"> </w:t>
      </w:r>
      <w:r>
        <w:t>report-only.</w:t>
      </w:r>
    </w:p>
    <w:p w:rsidR="007C72C4" w:rsidRDefault="00C306A6">
      <w:pPr>
        <w:pStyle w:val="ListParagraph"/>
        <w:numPr>
          <w:ilvl w:val="1"/>
          <w:numId w:val="4"/>
        </w:numPr>
        <w:tabs>
          <w:tab w:val="left" w:pos="1540"/>
          <w:tab w:val="left" w:pos="1541"/>
        </w:tabs>
        <w:spacing w:before="41" w:line="276" w:lineRule="auto"/>
        <w:ind w:right="114"/>
      </w:pPr>
      <w:r>
        <w:t xml:space="preserve">Please note that for 2018 reporting, practices </w:t>
      </w:r>
      <w:r>
        <w:rPr>
          <w:b/>
        </w:rPr>
        <w:t xml:space="preserve">do not </w:t>
      </w:r>
      <w:r>
        <w:t>have to submit responses to a Cost Management Strategies</w:t>
      </w:r>
      <w:r>
        <w:rPr>
          <w:spacing w:val="-1"/>
        </w:rPr>
        <w:t xml:space="preserve"> </w:t>
      </w:r>
      <w:r>
        <w:t>survey.</w:t>
      </w:r>
    </w:p>
    <w:p w:rsidR="007C72C4" w:rsidRDefault="00C306A6">
      <w:pPr>
        <w:pStyle w:val="ListParagraph"/>
        <w:numPr>
          <w:ilvl w:val="2"/>
          <w:numId w:val="4"/>
        </w:numPr>
        <w:tabs>
          <w:tab w:val="left" w:pos="2261"/>
        </w:tabs>
        <w:spacing w:line="276" w:lineRule="auto"/>
        <w:ind w:right="114"/>
        <w:jc w:val="both"/>
      </w:pPr>
      <w:r>
        <w:t>For 2019 reporting and beyond, practices will have to meet the new Cost Management Requirement, which builds upon NCQA quality improvement elements. This requirement is described in more detail below, under question</w:t>
      </w:r>
      <w:r>
        <w:rPr>
          <w:spacing w:val="-4"/>
        </w:rPr>
        <w:t xml:space="preserve"> </w:t>
      </w:r>
      <w:r>
        <w:t>6.</w:t>
      </w:r>
    </w:p>
    <w:p w:rsidR="007C72C4" w:rsidRDefault="007C72C4">
      <w:pPr>
        <w:pStyle w:val="BodyText"/>
        <w:spacing w:before="6"/>
        <w:ind w:left="0" w:firstLine="0"/>
        <w:rPr>
          <w:sz w:val="24"/>
        </w:rPr>
      </w:pPr>
    </w:p>
    <w:p w:rsidR="007C72C4" w:rsidRDefault="00C306A6">
      <w:pPr>
        <w:pStyle w:val="Heading1"/>
        <w:numPr>
          <w:ilvl w:val="3"/>
          <w:numId w:val="4"/>
        </w:numPr>
        <w:tabs>
          <w:tab w:val="left" w:pos="821"/>
        </w:tabs>
        <w:spacing w:before="1"/>
        <w:ind w:hanging="360"/>
        <w:jc w:val="left"/>
      </w:pPr>
      <w:r>
        <w:t>What are the performance improvement</w:t>
      </w:r>
      <w:r>
        <w:rPr>
          <w:spacing w:val="-4"/>
        </w:rPr>
        <w:t xml:space="preserve"> </w:t>
      </w:r>
      <w:r>
        <w:t>measures?</w:t>
      </w:r>
    </w:p>
    <w:p w:rsidR="007C72C4" w:rsidRDefault="00C306A6">
      <w:pPr>
        <w:pStyle w:val="ListParagraph"/>
        <w:numPr>
          <w:ilvl w:val="4"/>
          <w:numId w:val="4"/>
        </w:numPr>
        <w:tabs>
          <w:tab w:val="left" w:pos="1541"/>
        </w:tabs>
        <w:spacing w:before="40" w:line="276" w:lineRule="auto"/>
        <w:ind w:right="139"/>
      </w:pPr>
      <w:r>
        <w:t>The performance improvement measures all come from the SIM aligned measure set that commercial insurers will be utilizing for contracting. For 2018 reporting, the measures for assessing performance are as</w:t>
      </w:r>
      <w:r>
        <w:rPr>
          <w:spacing w:val="-7"/>
        </w:rPr>
        <w:t xml:space="preserve"> </w:t>
      </w:r>
      <w:r>
        <w:t>follows:</w:t>
      </w:r>
    </w:p>
    <w:p w:rsidR="007C72C4" w:rsidRDefault="00C306A6">
      <w:pPr>
        <w:pStyle w:val="BodyText"/>
        <w:ind w:left="1720" w:firstLine="0"/>
      </w:pPr>
      <w:r>
        <w:rPr>
          <w:u w:val="single"/>
        </w:rPr>
        <w:t>Adult practices</w:t>
      </w:r>
    </w:p>
    <w:p w:rsidR="007C72C4" w:rsidRDefault="00C306A6">
      <w:pPr>
        <w:pStyle w:val="ListParagraph"/>
        <w:numPr>
          <w:ilvl w:val="5"/>
          <w:numId w:val="4"/>
        </w:numPr>
        <w:tabs>
          <w:tab w:val="left" w:pos="2440"/>
          <w:tab w:val="left" w:pos="2441"/>
        </w:tabs>
        <w:spacing w:before="40"/>
        <w:ind w:firstLine="360"/>
      </w:pPr>
      <w:r>
        <w:t>Adult BMI Assessment</w:t>
      </w:r>
      <w:r>
        <w:rPr>
          <w:spacing w:val="-4"/>
        </w:rPr>
        <w:t xml:space="preserve"> </w:t>
      </w:r>
      <w:r>
        <w:t>(HEDIS</w:t>
      </w:r>
      <w:r>
        <w:rPr>
          <w:position w:val="5"/>
          <w:sz w:val="14"/>
        </w:rPr>
        <w:t>®4</w:t>
      </w:r>
      <w:r>
        <w:t>)</w:t>
      </w:r>
    </w:p>
    <w:p w:rsidR="007C72C4" w:rsidRDefault="00C306A6">
      <w:pPr>
        <w:pStyle w:val="ListParagraph"/>
        <w:numPr>
          <w:ilvl w:val="5"/>
          <w:numId w:val="4"/>
        </w:numPr>
        <w:tabs>
          <w:tab w:val="left" w:pos="2440"/>
          <w:tab w:val="left" w:pos="2441"/>
        </w:tabs>
        <w:spacing w:before="41"/>
        <w:ind w:firstLine="360"/>
      </w:pPr>
      <w:r>
        <w:t>Screening for Clinical Depression and Follow-up Plan</w:t>
      </w:r>
      <w:r>
        <w:rPr>
          <w:spacing w:val="-6"/>
        </w:rPr>
        <w:t xml:space="preserve"> </w:t>
      </w:r>
      <w:r>
        <w:t>(NQF)</w:t>
      </w:r>
    </w:p>
    <w:p w:rsidR="007C72C4" w:rsidRDefault="00C306A6">
      <w:pPr>
        <w:pStyle w:val="ListParagraph"/>
        <w:numPr>
          <w:ilvl w:val="5"/>
          <w:numId w:val="4"/>
        </w:numPr>
        <w:tabs>
          <w:tab w:val="left" w:pos="2440"/>
          <w:tab w:val="left" w:pos="2441"/>
        </w:tabs>
        <w:spacing w:before="41"/>
        <w:ind w:firstLine="360"/>
      </w:pPr>
      <w:r>
        <w:t>HbA1c Control (&lt;8)</w:t>
      </w:r>
      <w:r>
        <w:rPr>
          <w:spacing w:val="-2"/>
        </w:rPr>
        <w:t xml:space="preserve"> </w:t>
      </w:r>
      <w:r>
        <w:t>(HEDIS)</w:t>
      </w:r>
    </w:p>
    <w:p w:rsidR="007C72C4" w:rsidRDefault="00C306A6">
      <w:pPr>
        <w:pStyle w:val="ListParagraph"/>
        <w:numPr>
          <w:ilvl w:val="5"/>
          <w:numId w:val="4"/>
        </w:numPr>
        <w:tabs>
          <w:tab w:val="left" w:pos="2440"/>
          <w:tab w:val="left" w:pos="2441"/>
        </w:tabs>
        <w:spacing w:before="43"/>
        <w:ind w:firstLine="360"/>
      </w:pPr>
      <w:r>
        <w:t>Controlling High Blood Pressure</w:t>
      </w:r>
      <w:r>
        <w:rPr>
          <w:spacing w:val="-4"/>
        </w:rPr>
        <w:t xml:space="preserve"> </w:t>
      </w:r>
      <w:r>
        <w:t>(HEDIS)</w:t>
      </w:r>
    </w:p>
    <w:p w:rsidR="007C72C4" w:rsidRDefault="00C306A6">
      <w:pPr>
        <w:pStyle w:val="ListParagraph"/>
        <w:numPr>
          <w:ilvl w:val="5"/>
          <w:numId w:val="4"/>
        </w:numPr>
        <w:tabs>
          <w:tab w:val="left" w:pos="2440"/>
          <w:tab w:val="left" w:pos="2441"/>
        </w:tabs>
        <w:spacing w:before="41" w:line="273" w:lineRule="auto"/>
        <w:ind w:right="3393" w:firstLine="360"/>
      </w:pPr>
      <w:r>
        <w:t>Tobacco Cessation Intervention (NQF)</w:t>
      </w:r>
      <w:r>
        <w:rPr>
          <w:u w:val="single"/>
        </w:rPr>
        <w:t xml:space="preserve"> Pediatric</w:t>
      </w:r>
      <w:r>
        <w:rPr>
          <w:spacing w:val="-1"/>
          <w:u w:val="single"/>
        </w:rPr>
        <w:t xml:space="preserve"> </w:t>
      </w:r>
      <w:r>
        <w:rPr>
          <w:u w:val="single"/>
        </w:rPr>
        <w:t>practices</w:t>
      </w:r>
    </w:p>
    <w:p w:rsidR="007C72C4" w:rsidRDefault="00C306A6">
      <w:pPr>
        <w:pStyle w:val="ListParagraph"/>
        <w:numPr>
          <w:ilvl w:val="5"/>
          <w:numId w:val="4"/>
        </w:numPr>
        <w:tabs>
          <w:tab w:val="left" w:pos="2440"/>
          <w:tab w:val="left" w:pos="2441"/>
        </w:tabs>
        <w:spacing w:before="5" w:line="273" w:lineRule="auto"/>
        <w:ind w:left="2440" w:right="178"/>
      </w:pPr>
      <w:r>
        <w:t>Weight Assessment and Counseling for Nutri</w:t>
      </w:r>
      <w:r>
        <w:t>tion and Physical</w:t>
      </w:r>
      <w:r>
        <w:rPr>
          <w:spacing w:val="-29"/>
        </w:rPr>
        <w:t xml:space="preserve"> </w:t>
      </w:r>
      <w:r>
        <w:t>Activity (HEDIS - all-or-nothing measure including 3 sub</w:t>
      </w:r>
      <w:r>
        <w:rPr>
          <w:spacing w:val="-14"/>
        </w:rPr>
        <w:t xml:space="preserve"> </w:t>
      </w:r>
      <w:r>
        <w:t>measures)</w:t>
      </w:r>
    </w:p>
    <w:p w:rsidR="007C72C4" w:rsidRDefault="00C306A6">
      <w:pPr>
        <w:pStyle w:val="ListParagraph"/>
        <w:numPr>
          <w:ilvl w:val="5"/>
          <w:numId w:val="4"/>
        </w:numPr>
        <w:tabs>
          <w:tab w:val="left" w:pos="2440"/>
          <w:tab w:val="left" w:pos="2441"/>
        </w:tabs>
        <w:spacing w:before="5"/>
        <w:ind w:firstLine="360"/>
      </w:pPr>
      <w:r>
        <w:t>Developmental Screening</w:t>
      </w:r>
      <w:r>
        <w:rPr>
          <w:spacing w:val="-1"/>
        </w:rPr>
        <w:t xml:space="preserve"> </w:t>
      </w:r>
      <w:r>
        <w:t>(OHSU)</w:t>
      </w:r>
    </w:p>
    <w:p w:rsidR="007C72C4" w:rsidRDefault="007C72C4">
      <w:pPr>
        <w:pStyle w:val="BodyText"/>
        <w:spacing w:before="4"/>
        <w:ind w:left="0" w:firstLine="0"/>
        <w:rPr>
          <w:sz w:val="25"/>
        </w:rPr>
      </w:pPr>
    </w:p>
    <w:p w:rsidR="007C72C4" w:rsidRDefault="00C306A6">
      <w:pPr>
        <w:pStyle w:val="ListParagraph"/>
        <w:numPr>
          <w:ilvl w:val="4"/>
          <w:numId w:val="4"/>
        </w:numPr>
        <w:tabs>
          <w:tab w:val="left" w:pos="1541"/>
        </w:tabs>
        <w:ind w:right="161"/>
      </w:pPr>
      <w:r>
        <w:t>For 2018, practices must also report baseline data for the following measures that have been added to the PCMH measure</w:t>
      </w:r>
      <w:r>
        <w:rPr>
          <w:spacing w:val="-4"/>
        </w:rPr>
        <w:t xml:space="preserve"> </w:t>
      </w:r>
      <w:r>
        <w:t>set</w:t>
      </w:r>
      <w:r>
        <w:rPr>
          <w:position w:val="5"/>
          <w:sz w:val="14"/>
        </w:rPr>
        <w:t>5</w:t>
      </w:r>
      <w:r>
        <w:t>:</w:t>
      </w:r>
    </w:p>
    <w:p w:rsidR="007C72C4" w:rsidRDefault="00587741">
      <w:pPr>
        <w:pStyle w:val="BodyText"/>
        <w:spacing w:before="2"/>
        <w:ind w:left="0" w:firstLine="0"/>
        <w:rPr>
          <w:sz w:val="12"/>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126365</wp:posOffset>
                </wp:positionV>
                <wp:extent cx="1829435" cy="0"/>
                <wp:effectExtent l="9525" t="6350" r="8890" b="1270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A034"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5pt" to="216.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hR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" strokeweight=".72pt">
                <w10:wrap type="topAndBottom" anchorx="page"/>
              </v:line>
            </w:pict>
          </mc:Fallback>
        </mc:AlternateContent>
      </w:r>
    </w:p>
    <w:p w:rsidR="007C72C4" w:rsidRDefault="00C306A6">
      <w:pPr>
        <w:spacing w:before="71"/>
        <w:ind w:left="100"/>
        <w:rPr>
          <w:sz w:val="18"/>
        </w:rPr>
      </w:pPr>
      <w:r>
        <w:rPr>
          <w:sz w:val="18"/>
        </w:rPr>
        <w:t>4 HEDIS® is a registered trademark of the National Committee for Quality Assurance (NCQA)</w:t>
      </w:r>
    </w:p>
    <w:p w:rsidR="007C72C4" w:rsidRDefault="00C306A6">
      <w:pPr>
        <w:spacing w:before="16" w:line="247" w:lineRule="auto"/>
        <w:ind w:left="100" w:right="67"/>
        <w:rPr>
          <w:sz w:val="18"/>
        </w:rPr>
      </w:pPr>
      <w:r>
        <w:rPr>
          <w:position w:val="5"/>
          <w:sz w:val="13"/>
        </w:rPr>
        <w:t xml:space="preserve">5 </w:t>
      </w:r>
      <w:r>
        <w:rPr>
          <w:sz w:val="18"/>
        </w:rPr>
        <w:t>Recognizing that practices will not be able to report a full calendar year of data on the additional measures by October 2018, practices will get credit for reporting in 2018. Practices will then report baseline data in 2019, to analyze</w:t>
      </w:r>
    </w:p>
    <w:p w:rsidR="007C72C4" w:rsidRDefault="007C72C4">
      <w:pPr>
        <w:spacing w:line="247" w:lineRule="auto"/>
        <w:rPr>
          <w:sz w:val="18"/>
        </w:rPr>
        <w:sectPr w:rsidR="007C72C4">
          <w:pgSz w:w="12240" w:h="15840"/>
          <w:pgMar w:top="1700" w:right="1320" w:bottom="2380" w:left="1340" w:header="742" w:footer="2199" w:gutter="0"/>
          <w:cols w:space="720"/>
        </w:sectPr>
      </w:pPr>
    </w:p>
    <w:p w:rsidR="007C72C4" w:rsidRDefault="00C306A6">
      <w:pPr>
        <w:pStyle w:val="BodyText"/>
        <w:spacing w:before="36"/>
        <w:ind w:left="1720" w:firstLine="0"/>
      </w:pPr>
      <w:r>
        <w:rPr>
          <w:u w:val="single"/>
        </w:rPr>
        <w:lastRenderedPageBreak/>
        <w:t>Adult</w:t>
      </w:r>
      <w:r>
        <w:rPr>
          <w:u w:val="single"/>
        </w:rPr>
        <w:t xml:space="preserve"> practices</w:t>
      </w:r>
    </w:p>
    <w:p w:rsidR="007C72C4" w:rsidRDefault="00C306A6">
      <w:pPr>
        <w:pStyle w:val="ListParagraph"/>
        <w:numPr>
          <w:ilvl w:val="0"/>
          <w:numId w:val="1"/>
        </w:numPr>
        <w:tabs>
          <w:tab w:val="left" w:pos="2440"/>
          <w:tab w:val="left" w:pos="2441"/>
        </w:tabs>
        <w:ind w:firstLine="312"/>
      </w:pPr>
      <w:r>
        <w:t>Colorectal Cancer Screening</w:t>
      </w:r>
      <w:r>
        <w:rPr>
          <w:spacing w:val="-4"/>
        </w:rPr>
        <w:t xml:space="preserve"> </w:t>
      </w:r>
      <w:r>
        <w:t>(HEDIS)</w:t>
      </w:r>
    </w:p>
    <w:p w:rsidR="007C72C4" w:rsidRDefault="00C306A6">
      <w:pPr>
        <w:pStyle w:val="ListParagraph"/>
        <w:numPr>
          <w:ilvl w:val="0"/>
          <w:numId w:val="1"/>
        </w:numPr>
        <w:tabs>
          <w:tab w:val="left" w:pos="2440"/>
          <w:tab w:val="left" w:pos="2441"/>
        </w:tabs>
        <w:ind w:right="1478" w:firstLine="312"/>
      </w:pPr>
      <w:r>
        <w:t>Comprehensive Diabetes Care: Retinal Eye Exam (HEDIS)</w:t>
      </w:r>
      <w:r>
        <w:rPr>
          <w:u w:val="single"/>
        </w:rPr>
        <w:t xml:space="preserve"> Pediatric</w:t>
      </w:r>
      <w:r>
        <w:rPr>
          <w:spacing w:val="-1"/>
          <w:u w:val="single"/>
        </w:rPr>
        <w:t xml:space="preserve"> </w:t>
      </w:r>
      <w:r>
        <w:rPr>
          <w:u w:val="single"/>
        </w:rPr>
        <w:t>practices</w:t>
      </w:r>
    </w:p>
    <w:p w:rsidR="007C72C4" w:rsidRDefault="00C306A6">
      <w:pPr>
        <w:pStyle w:val="ListParagraph"/>
        <w:numPr>
          <w:ilvl w:val="0"/>
          <w:numId w:val="1"/>
        </w:numPr>
        <w:tabs>
          <w:tab w:val="left" w:pos="2440"/>
          <w:tab w:val="left" w:pos="2441"/>
        </w:tabs>
        <w:spacing w:before="1"/>
        <w:ind w:left="2440" w:hanging="360"/>
      </w:pPr>
      <w:r>
        <w:t>Adolescent Well-Care Visits</w:t>
      </w:r>
      <w:r>
        <w:rPr>
          <w:spacing w:val="-3"/>
        </w:rPr>
        <w:t xml:space="preserve"> </w:t>
      </w:r>
      <w:r>
        <w:t>(HEDIS)</w:t>
      </w:r>
    </w:p>
    <w:p w:rsidR="007C72C4" w:rsidRDefault="00C306A6">
      <w:pPr>
        <w:pStyle w:val="BodyText"/>
        <w:spacing w:line="276" w:lineRule="auto"/>
        <w:ind w:right="113"/>
        <w:jc w:val="both"/>
      </w:pPr>
      <w:r>
        <w:t>a. Measure specifications can be found on OHIC’s</w:t>
      </w:r>
      <w:r>
        <w:rPr>
          <w:color w:val="0000FF"/>
        </w:rPr>
        <w:t xml:space="preserve"> </w:t>
      </w:r>
      <w:hyperlink r:id="rId12">
        <w:r>
          <w:rPr>
            <w:color w:val="0000FF"/>
            <w:u w:val="single" w:color="0000FF"/>
          </w:rPr>
          <w:t>website</w:t>
        </w:r>
        <w:r>
          <w:t xml:space="preserve">. </w:t>
        </w:r>
      </w:hyperlink>
      <w:r>
        <w:t>Each year there will be a process to review the quality measures for continued alignment with other relevant programs, practice experience, set the Rhode Island benchmark if a national benchmark is not available, and make</w:t>
      </w:r>
      <w:r>
        <w:t xml:space="preserve"> adjustments as needed.</w:t>
      </w:r>
    </w:p>
    <w:p w:rsidR="007C72C4" w:rsidRDefault="007C72C4">
      <w:pPr>
        <w:pStyle w:val="BodyText"/>
        <w:spacing w:before="3"/>
        <w:ind w:left="0" w:firstLine="0"/>
        <w:rPr>
          <w:sz w:val="25"/>
        </w:rPr>
      </w:pPr>
    </w:p>
    <w:p w:rsidR="007C72C4" w:rsidRDefault="00C306A6">
      <w:pPr>
        <w:pStyle w:val="Heading1"/>
        <w:numPr>
          <w:ilvl w:val="3"/>
          <w:numId w:val="4"/>
        </w:numPr>
        <w:tabs>
          <w:tab w:val="left" w:pos="821"/>
        </w:tabs>
        <w:ind w:hanging="360"/>
        <w:jc w:val="left"/>
      </w:pPr>
      <w:r>
        <w:t>What are the performance improvement</w:t>
      </w:r>
      <w:r>
        <w:rPr>
          <w:spacing w:val="-4"/>
        </w:rPr>
        <w:t xml:space="preserve"> </w:t>
      </w:r>
      <w:r>
        <w:t>requirements?</w:t>
      </w:r>
    </w:p>
    <w:p w:rsidR="007C72C4" w:rsidRDefault="00C306A6">
      <w:pPr>
        <w:pStyle w:val="ListParagraph"/>
        <w:numPr>
          <w:ilvl w:val="4"/>
          <w:numId w:val="4"/>
        </w:numPr>
        <w:tabs>
          <w:tab w:val="left" w:pos="1541"/>
        </w:tabs>
        <w:spacing w:before="40"/>
      </w:pPr>
      <w:r>
        <w:t>For 2018 reporting, meaningful performance improvement is defined</w:t>
      </w:r>
      <w:r>
        <w:rPr>
          <w:spacing w:val="-13"/>
        </w:rPr>
        <w:t xml:space="preserve"> </w:t>
      </w:r>
      <w:r>
        <w:t>as:</w:t>
      </w:r>
    </w:p>
    <w:p w:rsidR="007C72C4" w:rsidRDefault="00C306A6">
      <w:pPr>
        <w:pStyle w:val="ListParagraph"/>
        <w:numPr>
          <w:ilvl w:val="0"/>
          <w:numId w:val="3"/>
        </w:numPr>
        <w:tabs>
          <w:tab w:val="left" w:pos="2261"/>
        </w:tabs>
        <w:spacing w:before="42" w:line="276" w:lineRule="auto"/>
        <w:ind w:right="147"/>
        <w:jc w:val="left"/>
      </w:pPr>
      <w:r>
        <w:t>For each measure, 3 percentage point improvement over one or two years</w:t>
      </w:r>
      <w:r>
        <w:rPr>
          <w:u w:val="single"/>
        </w:rPr>
        <w:t xml:space="preserve"> </w:t>
      </w:r>
      <w:r>
        <w:rPr>
          <w:b/>
          <w:u w:val="single"/>
        </w:rPr>
        <w:t>or</w:t>
      </w:r>
      <w:r>
        <w:rPr>
          <w:b/>
        </w:rPr>
        <w:t xml:space="preserve"> </w:t>
      </w:r>
      <w:r>
        <w:t>performance at or above the national 66th percentile</w:t>
      </w:r>
      <w:r>
        <w:rPr>
          <w:position w:val="5"/>
          <w:sz w:val="14"/>
        </w:rPr>
        <w:t>6</w:t>
      </w:r>
      <w:r>
        <w:t xml:space="preserve">, </w:t>
      </w:r>
      <w:r>
        <w:rPr>
          <w:b/>
          <w:u w:val="single"/>
        </w:rPr>
        <w:t>or</w:t>
      </w:r>
      <w:r>
        <w:rPr>
          <w:b/>
        </w:rPr>
        <w:t xml:space="preserve"> </w:t>
      </w:r>
      <w:r>
        <w:t>performance at or above the state 25</w:t>
      </w:r>
      <w:r>
        <w:rPr>
          <w:position w:val="5"/>
          <w:sz w:val="14"/>
        </w:rPr>
        <w:t xml:space="preserve">th </w:t>
      </w:r>
      <w:r>
        <w:t>percentile in the absence of an NCQA HEDIS rate</w:t>
      </w:r>
      <w:r>
        <w:rPr>
          <w:position w:val="5"/>
          <w:sz w:val="14"/>
        </w:rPr>
        <w:t>7</w:t>
      </w:r>
      <w:r>
        <w:t>;</w:t>
      </w:r>
    </w:p>
    <w:p w:rsidR="007C72C4" w:rsidRDefault="00C306A6">
      <w:pPr>
        <w:pStyle w:val="ListParagraph"/>
        <w:numPr>
          <w:ilvl w:val="0"/>
          <w:numId w:val="3"/>
        </w:numPr>
        <w:tabs>
          <w:tab w:val="left" w:pos="2261"/>
        </w:tabs>
        <w:spacing w:line="276" w:lineRule="auto"/>
        <w:ind w:right="197" w:hanging="362"/>
        <w:jc w:val="left"/>
      </w:pPr>
      <w:r>
        <w:t xml:space="preserve">Performance at or above the national 66th percentile alone if the practice did not previously report a prior </w:t>
      </w:r>
      <w:r>
        <w:t>year rate in addition to the performance measurement period</w:t>
      </w:r>
      <w:r>
        <w:rPr>
          <w:spacing w:val="-1"/>
        </w:rPr>
        <w:t xml:space="preserve"> </w:t>
      </w:r>
      <w:r>
        <w:t>rate;</w:t>
      </w:r>
    </w:p>
    <w:p w:rsidR="007C72C4" w:rsidRDefault="00C306A6">
      <w:pPr>
        <w:pStyle w:val="ListParagraph"/>
        <w:numPr>
          <w:ilvl w:val="0"/>
          <w:numId w:val="3"/>
        </w:numPr>
        <w:tabs>
          <w:tab w:val="left" w:pos="2261"/>
        </w:tabs>
        <w:spacing w:line="276" w:lineRule="auto"/>
        <w:ind w:right="389" w:hanging="427"/>
        <w:jc w:val="left"/>
      </w:pPr>
      <w:r>
        <w:rPr>
          <w:u w:val="single"/>
        </w:rPr>
        <w:t>First-time reporting practices</w:t>
      </w:r>
      <w:r>
        <w:t>: For practices submitting data for the first time, data will be recorded as baseline. Performance improvement in future years will be assessed against these fi</w:t>
      </w:r>
      <w:r>
        <w:t>rst-year baseline</w:t>
      </w:r>
      <w:r>
        <w:rPr>
          <w:spacing w:val="-14"/>
        </w:rPr>
        <w:t xml:space="preserve"> </w:t>
      </w:r>
      <w:r>
        <w:t>rates.</w:t>
      </w:r>
    </w:p>
    <w:p w:rsidR="007C72C4" w:rsidRDefault="00C306A6">
      <w:pPr>
        <w:pStyle w:val="ListParagraph"/>
        <w:numPr>
          <w:ilvl w:val="0"/>
          <w:numId w:val="3"/>
        </w:numPr>
        <w:tabs>
          <w:tab w:val="left" w:pos="2261"/>
        </w:tabs>
        <w:ind w:hanging="422"/>
        <w:jc w:val="left"/>
      </w:pPr>
      <w:r>
        <w:t>Adult practices must achieve the above stated level of improvement on</w:t>
      </w:r>
      <w:r>
        <w:rPr>
          <w:spacing w:val="-13"/>
        </w:rPr>
        <w:t xml:space="preserve"> </w:t>
      </w:r>
      <w:r>
        <w:t>at</w:t>
      </w:r>
    </w:p>
    <w:p w:rsidR="007C72C4" w:rsidRDefault="00C306A6">
      <w:pPr>
        <w:pStyle w:val="BodyText"/>
        <w:spacing w:before="41"/>
        <w:ind w:left="2260" w:firstLine="0"/>
      </w:pPr>
      <w:r>
        <w:t>least 3 of the 5 measures to achieve “meaningful performance</w:t>
      </w:r>
    </w:p>
    <w:p w:rsidR="007C72C4" w:rsidRDefault="00C306A6">
      <w:pPr>
        <w:pStyle w:val="BodyText"/>
        <w:spacing w:before="41" w:line="276" w:lineRule="auto"/>
        <w:ind w:left="2260" w:right="231" w:firstLine="0"/>
      </w:pPr>
      <w:r>
        <w:t>improvement.” Pediatric practices must achieve the above stated level of improvement on at least 1 of the 2 measures to achieve “meaningful performance improvement.” Practices that report on both adult and pediatric measures must achieve the above stated l</w:t>
      </w:r>
      <w:r>
        <w:t xml:space="preserve">evel of improvement on at least 3 of the 5 adult measures </w:t>
      </w:r>
      <w:r>
        <w:rPr>
          <w:i/>
          <w:u w:val="single"/>
        </w:rPr>
        <w:t>and</w:t>
      </w:r>
      <w:r>
        <w:rPr>
          <w:i/>
        </w:rPr>
        <w:t xml:space="preserve"> </w:t>
      </w:r>
      <w:r>
        <w:t>at least 1 of the 2 pediatric</w:t>
      </w:r>
    </w:p>
    <w:p w:rsidR="007C72C4" w:rsidRDefault="00C306A6">
      <w:pPr>
        <w:pStyle w:val="BodyText"/>
        <w:ind w:left="2260" w:firstLine="0"/>
      </w:pPr>
      <w:r>
        <w:t>measures to achieve “meaningful performance improvement.”</w:t>
      </w:r>
    </w:p>
    <w:p w:rsidR="007C72C4" w:rsidRDefault="00587741">
      <w:pPr>
        <w:pStyle w:val="BodyText"/>
        <w:spacing w:before="12"/>
        <w:ind w:left="0" w:firstLine="0"/>
        <w:rPr>
          <w:sz w:val="21"/>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203200</wp:posOffset>
                </wp:positionV>
                <wp:extent cx="1829435" cy="0"/>
                <wp:effectExtent l="9525" t="8890" r="8890" b="1016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FB8B"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216.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w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" strokeweight=".72pt">
                <w10:wrap type="topAndBottom" anchorx="page"/>
              </v:line>
            </w:pict>
          </mc:Fallback>
        </mc:AlternateContent>
      </w:r>
    </w:p>
    <w:p w:rsidR="007C72C4" w:rsidRDefault="00C306A6">
      <w:pPr>
        <w:spacing w:before="71"/>
        <w:ind w:left="100" w:right="67"/>
        <w:rPr>
          <w:sz w:val="18"/>
        </w:rPr>
      </w:pPr>
      <w:r>
        <w:rPr>
          <w:sz w:val="18"/>
        </w:rPr>
        <w:t>performance improvement in 2020, at which point measures in Section II(3)(a) with little room for improvement will be retired.</w:t>
      </w:r>
    </w:p>
    <w:p w:rsidR="007C72C4" w:rsidRDefault="00C306A6">
      <w:pPr>
        <w:spacing w:before="1"/>
        <w:ind w:left="100" w:right="268"/>
        <w:rPr>
          <w:sz w:val="18"/>
        </w:rPr>
      </w:pPr>
      <w:r>
        <w:rPr>
          <w:position w:val="4"/>
          <w:sz w:val="12"/>
        </w:rPr>
        <w:t xml:space="preserve">6 </w:t>
      </w:r>
      <w:r>
        <w:rPr>
          <w:sz w:val="18"/>
        </w:rPr>
        <w:t xml:space="preserve">For </w:t>
      </w:r>
      <w:r>
        <w:rPr>
          <w:i/>
          <w:sz w:val="18"/>
        </w:rPr>
        <w:t xml:space="preserve">outcome </w:t>
      </w:r>
      <w:r>
        <w:rPr>
          <w:sz w:val="18"/>
        </w:rPr>
        <w:t xml:space="preserve">measures with an NCQA HEDIS rate, practices with more than 50% of patients in Medicaid or uninsured will be scored </w:t>
      </w:r>
      <w:r>
        <w:rPr>
          <w:sz w:val="18"/>
        </w:rPr>
        <w:t>against the Medicaid 66</w:t>
      </w:r>
      <w:r>
        <w:rPr>
          <w:position w:val="4"/>
          <w:sz w:val="12"/>
        </w:rPr>
        <w:t xml:space="preserve">th </w:t>
      </w:r>
      <w:r>
        <w:rPr>
          <w:sz w:val="18"/>
        </w:rPr>
        <w:t>percentile, while the rest of practices will be scored against the Commercial 66</w:t>
      </w:r>
      <w:r>
        <w:rPr>
          <w:position w:val="4"/>
          <w:sz w:val="12"/>
        </w:rPr>
        <w:t xml:space="preserve">th </w:t>
      </w:r>
      <w:r>
        <w:rPr>
          <w:sz w:val="18"/>
        </w:rPr>
        <w:t xml:space="preserve">percentile. For </w:t>
      </w:r>
      <w:r>
        <w:rPr>
          <w:i/>
          <w:sz w:val="18"/>
        </w:rPr>
        <w:t xml:space="preserve">process </w:t>
      </w:r>
      <w:r>
        <w:rPr>
          <w:sz w:val="18"/>
        </w:rPr>
        <w:t>measures, all practices will be scored against the Commercial 66</w:t>
      </w:r>
      <w:r>
        <w:rPr>
          <w:position w:val="4"/>
          <w:sz w:val="12"/>
        </w:rPr>
        <w:t xml:space="preserve">th </w:t>
      </w:r>
      <w:r>
        <w:rPr>
          <w:sz w:val="18"/>
        </w:rPr>
        <w:t>percentile. All rates will be from the version of Qualit</w:t>
      </w:r>
      <w:r>
        <w:rPr>
          <w:sz w:val="18"/>
        </w:rPr>
        <w:t>y Compass for two years prior to the measurement period (e.g., Quality Compass 2017 with CY 2016 data for the 10/1/17 – 9/30/18 measurement period).</w:t>
      </w:r>
    </w:p>
    <w:p w:rsidR="007C72C4" w:rsidRDefault="00C306A6">
      <w:pPr>
        <w:spacing w:before="1"/>
        <w:ind w:left="100" w:right="268"/>
        <w:rPr>
          <w:sz w:val="18"/>
        </w:rPr>
      </w:pPr>
      <w:r>
        <w:rPr>
          <w:position w:val="4"/>
          <w:sz w:val="12"/>
        </w:rPr>
        <w:t xml:space="preserve">7 </w:t>
      </w:r>
      <w:r>
        <w:rPr>
          <w:sz w:val="18"/>
        </w:rPr>
        <w:t>For the 10/1/17 – 9/30/18 performance period, all practices will be scored against the 25</w:t>
      </w:r>
      <w:r>
        <w:rPr>
          <w:position w:val="4"/>
          <w:sz w:val="12"/>
        </w:rPr>
        <w:t xml:space="preserve">th </w:t>
      </w:r>
      <w:r>
        <w:rPr>
          <w:sz w:val="18"/>
        </w:rPr>
        <w:t>percentile fo</w:t>
      </w:r>
      <w:r>
        <w:rPr>
          <w:sz w:val="18"/>
        </w:rPr>
        <w:t>r the state from the prior performance period (10/1/16 – 9/30/17).</w:t>
      </w:r>
    </w:p>
    <w:p w:rsidR="007C72C4" w:rsidRDefault="007C72C4">
      <w:pPr>
        <w:rPr>
          <w:sz w:val="18"/>
        </w:rPr>
        <w:sectPr w:rsidR="007C72C4">
          <w:pgSz w:w="12240" w:h="15840"/>
          <w:pgMar w:top="1700" w:right="1320" w:bottom="2380" w:left="1340" w:header="742" w:footer="2199" w:gutter="0"/>
          <w:cols w:space="720"/>
        </w:sectPr>
      </w:pPr>
    </w:p>
    <w:p w:rsidR="007C72C4" w:rsidRDefault="00C306A6">
      <w:pPr>
        <w:pStyle w:val="ListParagraph"/>
        <w:numPr>
          <w:ilvl w:val="4"/>
          <w:numId w:val="4"/>
        </w:numPr>
        <w:tabs>
          <w:tab w:val="left" w:pos="1541"/>
        </w:tabs>
        <w:spacing w:before="36"/>
      </w:pPr>
      <w:r>
        <w:lastRenderedPageBreak/>
        <w:t>Measure benchmarks for 2018 reporting are posted on</w:t>
      </w:r>
      <w:hyperlink r:id="rId13">
        <w:r>
          <w:rPr>
            <w:color w:val="0000FF"/>
            <w:u w:val="single" w:color="0000FF"/>
          </w:rPr>
          <w:t xml:space="preserve"> OHIC’s</w:t>
        </w:r>
        <w:r>
          <w:rPr>
            <w:color w:val="0000FF"/>
            <w:spacing w:val="-10"/>
            <w:u w:val="single" w:color="0000FF"/>
          </w:rPr>
          <w:t xml:space="preserve"> </w:t>
        </w:r>
        <w:r>
          <w:rPr>
            <w:color w:val="0000FF"/>
            <w:u w:val="single" w:color="0000FF"/>
          </w:rPr>
          <w:t>website</w:t>
        </w:r>
        <w:r>
          <w:t>.</w:t>
        </w:r>
      </w:hyperlink>
    </w:p>
    <w:p w:rsidR="007C72C4" w:rsidRDefault="007C72C4">
      <w:pPr>
        <w:pStyle w:val="BodyText"/>
        <w:spacing w:before="9"/>
        <w:ind w:left="0" w:firstLine="0"/>
        <w:rPr>
          <w:sz w:val="20"/>
        </w:rPr>
      </w:pPr>
    </w:p>
    <w:p w:rsidR="007C72C4" w:rsidRDefault="00C306A6">
      <w:pPr>
        <w:pStyle w:val="Heading1"/>
        <w:numPr>
          <w:ilvl w:val="3"/>
          <w:numId w:val="4"/>
        </w:numPr>
        <w:tabs>
          <w:tab w:val="left" w:pos="821"/>
        </w:tabs>
        <w:spacing w:before="97"/>
        <w:ind w:hanging="360"/>
        <w:jc w:val="left"/>
      </w:pPr>
      <w:r>
        <w:t>What is the cost management</w:t>
      </w:r>
      <w:r>
        <w:rPr>
          <w:spacing w:val="-5"/>
        </w:rPr>
        <w:t xml:space="preserve"> </w:t>
      </w:r>
      <w:r>
        <w:t>re</w:t>
      </w:r>
      <w:r>
        <w:t>quirement?</w:t>
      </w:r>
    </w:p>
    <w:p w:rsidR="007C72C4" w:rsidRDefault="00C306A6">
      <w:pPr>
        <w:pStyle w:val="ListParagraph"/>
        <w:numPr>
          <w:ilvl w:val="4"/>
          <w:numId w:val="4"/>
        </w:numPr>
        <w:tabs>
          <w:tab w:val="left" w:pos="1541"/>
        </w:tabs>
        <w:spacing w:before="40"/>
      </w:pPr>
      <w:r>
        <w:rPr>
          <w:u w:val="single"/>
        </w:rPr>
        <w:t xml:space="preserve">For 2018 reporting, practices </w:t>
      </w:r>
      <w:r>
        <w:rPr>
          <w:b/>
          <w:u w:val="single"/>
        </w:rPr>
        <w:t xml:space="preserve">do not </w:t>
      </w:r>
      <w:r>
        <w:rPr>
          <w:u w:val="single"/>
        </w:rPr>
        <w:t>have to report on cost</w:t>
      </w:r>
      <w:r>
        <w:rPr>
          <w:spacing w:val="-9"/>
          <w:u w:val="single"/>
        </w:rPr>
        <w:t xml:space="preserve"> </w:t>
      </w:r>
      <w:r>
        <w:rPr>
          <w:u w:val="single"/>
        </w:rPr>
        <w:t>management</w:t>
      </w:r>
    </w:p>
    <w:p w:rsidR="007C72C4" w:rsidRDefault="00C306A6">
      <w:pPr>
        <w:pStyle w:val="ListParagraph"/>
        <w:numPr>
          <w:ilvl w:val="4"/>
          <w:numId w:val="4"/>
        </w:numPr>
        <w:tabs>
          <w:tab w:val="left" w:pos="1541"/>
        </w:tabs>
        <w:spacing w:before="41" w:line="276" w:lineRule="auto"/>
        <w:ind w:right="115"/>
        <w:jc w:val="both"/>
      </w:pPr>
      <w:r>
        <w:t>For 2019 reporting and beyond, practices will have to meet the Cost Management requirement to achieve PCMH recognition. This new requirement places parameters</w:t>
      </w:r>
      <w:r>
        <w:rPr>
          <w:spacing w:val="-6"/>
        </w:rPr>
        <w:t xml:space="preserve"> </w:t>
      </w:r>
      <w:r>
        <w:t>around</w:t>
      </w:r>
      <w:r>
        <w:rPr>
          <w:spacing w:val="-9"/>
        </w:rPr>
        <w:t xml:space="preserve"> </w:t>
      </w:r>
      <w:r>
        <w:t>existing</w:t>
      </w:r>
      <w:r>
        <w:rPr>
          <w:spacing w:val="-6"/>
        </w:rPr>
        <w:t xml:space="preserve"> </w:t>
      </w:r>
      <w:r>
        <w:t>NCQA</w:t>
      </w:r>
      <w:r>
        <w:rPr>
          <w:spacing w:val="-6"/>
        </w:rPr>
        <w:t xml:space="preserve"> </w:t>
      </w:r>
      <w:r>
        <w:t>PCMH</w:t>
      </w:r>
      <w:r>
        <w:rPr>
          <w:spacing w:val="-6"/>
        </w:rPr>
        <w:t xml:space="preserve"> </w:t>
      </w:r>
      <w:r>
        <w:t>(2017</w:t>
      </w:r>
      <w:r>
        <w:rPr>
          <w:spacing w:val="-11"/>
        </w:rPr>
        <w:t xml:space="preserve"> </w:t>
      </w:r>
      <w:r>
        <w:t>Edition)</w:t>
      </w:r>
      <w:r>
        <w:rPr>
          <w:spacing w:val="-5"/>
        </w:rPr>
        <w:t xml:space="preserve"> </w:t>
      </w:r>
      <w:r>
        <w:t>reporting</w:t>
      </w:r>
      <w:r>
        <w:rPr>
          <w:spacing w:val="-6"/>
        </w:rPr>
        <w:t xml:space="preserve"> </w:t>
      </w:r>
      <w:r>
        <w:t>requirements.</w:t>
      </w:r>
    </w:p>
    <w:p w:rsidR="007C72C4" w:rsidRDefault="00C306A6">
      <w:pPr>
        <w:pStyle w:val="ListParagraph"/>
        <w:numPr>
          <w:ilvl w:val="0"/>
          <w:numId w:val="2"/>
        </w:numPr>
        <w:tabs>
          <w:tab w:val="left" w:pos="2261"/>
        </w:tabs>
        <w:spacing w:line="276" w:lineRule="auto"/>
        <w:ind w:right="115"/>
        <w:jc w:val="both"/>
      </w:pPr>
      <w:r>
        <w:t>In meeting NCQA Element QI 09, Rhode Island practices must develop and implement a quality improvement strategy that addresses one of the following</w:t>
      </w:r>
      <w:r>
        <w:rPr>
          <w:spacing w:val="-8"/>
        </w:rPr>
        <w:t xml:space="preserve"> </w:t>
      </w:r>
      <w:r>
        <w:t>menu</w:t>
      </w:r>
      <w:r>
        <w:rPr>
          <w:spacing w:val="-9"/>
        </w:rPr>
        <w:t xml:space="preserve"> </w:t>
      </w:r>
      <w:r>
        <w:t>items,</w:t>
      </w:r>
      <w:r>
        <w:rPr>
          <w:spacing w:val="-11"/>
        </w:rPr>
        <w:t xml:space="preserve"> </w:t>
      </w:r>
      <w:r>
        <w:t>from</w:t>
      </w:r>
      <w:r>
        <w:rPr>
          <w:spacing w:val="-9"/>
        </w:rPr>
        <w:t xml:space="preserve"> </w:t>
      </w:r>
      <w:r>
        <w:t>either</w:t>
      </w:r>
      <w:r>
        <w:rPr>
          <w:spacing w:val="-9"/>
        </w:rPr>
        <w:t xml:space="preserve"> </w:t>
      </w:r>
      <w:r>
        <w:t>the</w:t>
      </w:r>
      <w:r>
        <w:rPr>
          <w:spacing w:val="-8"/>
        </w:rPr>
        <w:t xml:space="preserve"> </w:t>
      </w:r>
      <w:r>
        <w:t>Care</w:t>
      </w:r>
      <w:r>
        <w:rPr>
          <w:spacing w:val="-8"/>
        </w:rPr>
        <w:t xml:space="preserve"> </w:t>
      </w:r>
      <w:r>
        <w:t>Coordination</w:t>
      </w:r>
      <w:r>
        <w:rPr>
          <w:spacing w:val="-9"/>
        </w:rPr>
        <w:t xml:space="preserve"> </w:t>
      </w:r>
      <w:r>
        <w:t>or</w:t>
      </w:r>
      <w:r>
        <w:rPr>
          <w:spacing w:val="-9"/>
        </w:rPr>
        <w:t xml:space="preserve"> </w:t>
      </w:r>
      <w:r>
        <w:t>Cost-Effe</w:t>
      </w:r>
      <w:r>
        <w:t>ctive Use of Services</w:t>
      </w:r>
      <w:r>
        <w:rPr>
          <w:spacing w:val="-5"/>
        </w:rPr>
        <w:t xml:space="preserve"> </w:t>
      </w:r>
      <w:r>
        <w:t>categories:</w:t>
      </w:r>
    </w:p>
    <w:p w:rsidR="007C72C4" w:rsidRDefault="00C306A6">
      <w:pPr>
        <w:pStyle w:val="BodyText"/>
        <w:spacing w:before="1"/>
        <w:ind w:left="2620" w:firstLine="0"/>
      </w:pPr>
      <w:r>
        <w:rPr>
          <w:u w:val="single"/>
        </w:rPr>
        <w:t>Care Coordination:</w:t>
      </w:r>
    </w:p>
    <w:p w:rsidR="007C72C4" w:rsidRDefault="00C306A6">
      <w:pPr>
        <w:pStyle w:val="ListParagraph"/>
        <w:numPr>
          <w:ilvl w:val="1"/>
          <w:numId w:val="2"/>
        </w:numPr>
        <w:tabs>
          <w:tab w:val="left" w:pos="3340"/>
          <w:tab w:val="left" w:pos="3341"/>
        </w:tabs>
        <w:spacing w:before="41" w:line="259" w:lineRule="auto"/>
        <w:ind w:right="808"/>
      </w:pPr>
      <w:r>
        <w:t>Care coordination between facilities (including safe and effective care</w:t>
      </w:r>
      <w:r>
        <w:rPr>
          <w:spacing w:val="-3"/>
        </w:rPr>
        <w:t xml:space="preserve"> </w:t>
      </w:r>
      <w:r>
        <w:t>transitions)</w:t>
      </w:r>
    </w:p>
    <w:p w:rsidR="007C72C4" w:rsidRDefault="00C306A6">
      <w:pPr>
        <w:pStyle w:val="ListParagraph"/>
        <w:numPr>
          <w:ilvl w:val="1"/>
          <w:numId w:val="2"/>
        </w:numPr>
        <w:tabs>
          <w:tab w:val="left" w:pos="3340"/>
          <w:tab w:val="left" w:pos="3341"/>
        </w:tabs>
        <w:spacing w:line="283" w:lineRule="exact"/>
      </w:pPr>
      <w:r>
        <w:t>Care coordination with specialists/other</w:t>
      </w:r>
      <w:r>
        <w:rPr>
          <w:spacing w:val="-4"/>
        </w:rPr>
        <w:t xml:space="preserve"> </w:t>
      </w:r>
      <w:r>
        <w:t>providers</w:t>
      </w:r>
    </w:p>
    <w:p w:rsidR="007C72C4" w:rsidRDefault="00C306A6">
      <w:pPr>
        <w:pStyle w:val="ListParagraph"/>
        <w:numPr>
          <w:ilvl w:val="1"/>
          <w:numId w:val="2"/>
        </w:numPr>
        <w:tabs>
          <w:tab w:val="left" w:pos="3340"/>
          <w:tab w:val="left" w:pos="3341"/>
        </w:tabs>
        <w:spacing w:before="21" w:line="259" w:lineRule="auto"/>
        <w:ind w:left="2620" w:right="3168" w:firstLine="361"/>
      </w:pPr>
      <w:r>
        <w:t>Care coordination with patient</w:t>
      </w:r>
      <w:r>
        <w:rPr>
          <w:position w:val="5"/>
          <w:sz w:val="14"/>
        </w:rPr>
        <w:t>8</w:t>
      </w:r>
      <w:r>
        <w:rPr>
          <w:sz w:val="14"/>
          <w:u w:val="single"/>
        </w:rPr>
        <w:t xml:space="preserve"> </w:t>
      </w:r>
      <w:r>
        <w:rPr>
          <w:u w:val="single"/>
        </w:rPr>
        <w:t>Cost-Effective Use of</w:t>
      </w:r>
      <w:r>
        <w:rPr>
          <w:spacing w:val="-4"/>
          <w:u w:val="single"/>
        </w:rPr>
        <w:t xml:space="preserve"> </w:t>
      </w:r>
      <w:r>
        <w:rPr>
          <w:u w:val="single"/>
        </w:rPr>
        <w:t>Services:</w:t>
      </w:r>
    </w:p>
    <w:p w:rsidR="007C72C4" w:rsidRDefault="00C306A6">
      <w:pPr>
        <w:pStyle w:val="ListParagraph"/>
        <w:numPr>
          <w:ilvl w:val="1"/>
          <w:numId w:val="2"/>
        </w:numPr>
        <w:tabs>
          <w:tab w:val="left" w:pos="3340"/>
          <w:tab w:val="left" w:pos="3341"/>
        </w:tabs>
        <w:spacing w:before="19"/>
      </w:pPr>
      <w:r>
        <w:t>ED</w:t>
      </w:r>
      <w:r>
        <w:rPr>
          <w:spacing w:val="-2"/>
        </w:rPr>
        <w:t xml:space="preserve"> </w:t>
      </w:r>
      <w:r>
        <w:t>utilization</w:t>
      </w:r>
    </w:p>
    <w:p w:rsidR="007C72C4" w:rsidRDefault="00C306A6">
      <w:pPr>
        <w:pStyle w:val="ListParagraph"/>
        <w:numPr>
          <w:ilvl w:val="1"/>
          <w:numId w:val="2"/>
        </w:numPr>
        <w:tabs>
          <w:tab w:val="left" w:pos="3340"/>
          <w:tab w:val="left" w:pos="3341"/>
        </w:tabs>
        <w:spacing w:before="21"/>
      </w:pPr>
      <w:r>
        <w:t>Inpatient hospital</w:t>
      </w:r>
      <w:r>
        <w:rPr>
          <w:spacing w:val="-4"/>
        </w:rPr>
        <w:t xml:space="preserve"> </w:t>
      </w:r>
      <w:r>
        <w:t>utilization</w:t>
      </w:r>
    </w:p>
    <w:p w:rsidR="007C72C4" w:rsidRDefault="00C306A6">
      <w:pPr>
        <w:pStyle w:val="ListParagraph"/>
        <w:numPr>
          <w:ilvl w:val="1"/>
          <w:numId w:val="2"/>
        </w:numPr>
        <w:tabs>
          <w:tab w:val="left" w:pos="3340"/>
          <w:tab w:val="left" w:pos="3341"/>
        </w:tabs>
        <w:spacing w:before="22"/>
      </w:pPr>
      <w:r>
        <w:t>Overuse/appropriateness of care (low-value</w:t>
      </w:r>
      <w:r>
        <w:rPr>
          <w:spacing w:val="-5"/>
        </w:rPr>
        <w:t xml:space="preserve"> </w:t>
      </w:r>
      <w:r>
        <w:t>care)</w:t>
      </w:r>
    </w:p>
    <w:p w:rsidR="007C72C4" w:rsidRDefault="00C306A6">
      <w:pPr>
        <w:pStyle w:val="ListParagraph"/>
        <w:numPr>
          <w:ilvl w:val="1"/>
          <w:numId w:val="2"/>
        </w:numPr>
        <w:tabs>
          <w:tab w:val="left" w:pos="3340"/>
          <w:tab w:val="left" w:pos="3341"/>
        </w:tabs>
        <w:spacing w:before="21" w:line="259" w:lineRule="auto"/>
        <w:ind w:right="364"/>
      </w:pPr>
      <w:r>
        <w:t>Pharmaceutical costs (including volume and/or use of high- value</w:t>
      </w:r>
      <w:r>
        <w:rPr>
          <w:spacing w:val="-2"/>
        </w:rPr>
        <w:t xml:space="preserve"> </w:t>
      </w:r>
      <w:r>
        <w:t>pharmaceuticals)</w:t>
      </w:r>
    </w:p>
    <w:p w:rsidR="007C72C4" w:rsidRDefault="00C306A6">
      <w:pPr>
        <w:pStyle w:val="ListParagraph"/>
        <w:numPr>
          <w:ilvl w:val="1"/>
          <w:numId w:val="2"/>
        </w:numPr>
        <w:tabs>
          <w:tab w:val="left" w:pos="3340"/>
          <w:tab w:val="left" w:pos="3341"/>
        </w:tabs>
        <w:spacing w:line="259" w:lineRule="auto"/>
        <w:ind w:right="270"/>
      </w:pPr>
      <w:r>
        <w:t>Specialist referral costs (including volume of referrals and/or referrals to high-</w:t>
      </w:r>
      <w:r>
        <w:t>value</w:t>
      </w:r>
      <w:r>
        <w:rPr>
          <w:spacing w:val="-2"/>
        </w:rPr>
        <w:t xml:space="preserve"> </w:t>
      </w:r>
      <w:r>
        <w:t>specialists)</w:t>
      </w:r>
    </w:p>
    <w:p w:rsidR="007C72C4" w:rsidRDefault="00C306A6">
      <w:pPr>
        <w:pStyle w:val="ListParagraph"/>
        <w:numPr>
          <w:ilvl w:val="0"/>
          <w:numId w:val="2"/>
        </w:numPr>
        <w:tabs>
          <w:tab w:val="left" w:pos="2261"/>
        </w:tabs>
        <w:spacing w:line="276" w:lineRule="auto"/>
        <w:ind w:right="115" w:hanging="362"/>
        <w:jc w:val="both"/>
      </w:pPr>
      <w:r>
        <w:t>Practices that are NCQArecognized PCMHs will be evaluated on this requirement during their annual NCQA reporting. Practices will be expected to specify the measure of resource stewardship they will track to monitor performance improvement in the selected m</w:t>
      </w:r>
      <w:r>
        <w:t>enu item. More guidance will be provided in advance of 2019</w:t>
      </w:r>
      <w:r>
        <w:rPr>
          <w:spacing w:val="-5"/>
        </w:rPr>
        <w:t xml:space="preserve"> </w:t>
      </w:r>
      <w:r>
        <w:t>reporting.</w:t>
      </w:r>
    </w:p>
    <w:p w:rsidR="007C72C4" w:rsidRDefault="007C72C4">
      <w:pPr>
        <w:pStyle w:val="BodyText"/>
        <w:spacing w:before="6"/>
        <w:ind w:left="0" w:firstLine="0"/>
        <w:rPr>
          <w:sz w:val="24"/>
        </w:rPr>
      </w:pPr>
    </w:p>
    <w:p w:rsidR="007C72C4" w:rsidRDefault="00C306A6">
      <w:pPr>
        <w:pStyle w:val="Heading1"/>
        <w:numPr>
          <w:ilvl w:val="3"/>
          <w:numId w:val="4"/>
        </w:numPr>
        <w:tabs>
          <w:tab w:val="left" w:pos="821"/>
        </w:tabs>
        <w:ind w:hanging="360"/>
        <w:jc w:val="left"/>
      </w:pPr>
      <w:r>
        <w:t>How do practices submit the required</w:t>
      </w:r>
      <w:r>
        <w:rPr>
          <w:spacing w:val="-5"/>
        </w:rPr>
        <w:t xml:space="preserve"> </w:t>
      </w:r>
      <w:r>
        <w:t>information?</w:t>
      </w:r>
    </w:p>
    <w:p w:rsidR="007C72C4" w:rsidRDefault="00587741">
      <w:pPr>
        <w:pStyle w:val="BodyText"/>
        <w:ind w:left="0" w:firstLine="0"/>
        <w:rPr>
          <w:b/>
          <w:sz w:val="15"/>
        </w:rPr>
      </w:pPr>
      <w:r>
        <w:rPr>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144780</wp:posOffset>
                </wp:positionV>
                <wp:extent cx="1829435" cy="0"/>
                <wp:effectExtent l="9525" t="10160" r="8890" b="889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1E0B"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216.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48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" strokeweight=".72pt">
                <w10:wrap type="topAndBottom" anchorx="page"/>
              </v:line>
            </w:pict>
          </mc:Fallback>
        </mc:AlternateContent>
      </w:r>
    </w:p>
    <w:p w:rsidR="007C72C4" w:rsidRDefault="00C306A6">
      <w:pPr>
        <w:spacing w:before="71"/>
        <w:ind w:left="100" w:right="105"/>
        <w:rPr>
          <w:sz w:val="20"/>
        </w:rPr>
      </w:pPr>
      <w:r>
        <w:rPr>
          <w:position w:val="5"/>
          <w:sz w:val="13"/>
        </w:rPr>
        <w:t xml:space="preserve">8 </w:t>
      </w:r>
      <w:r>
        <w:rPr>
          <w:sz w:val="20"/>
        </w:rPr>
        <w:t>Care coordination with patient refers to measures of successful coordination or communication between members of the care team and the patient. Examples can include, but are not limited to: follow up to ensure ordered lab or imaging tests were completed, f</w:t>
      </w:r>
      <w:r>
        <w:rPr>
          <w:sz w:val="20"/>
        </w:rPr>
        <w:t>ollow up to ensure referral has been completed, follow up after patient receipt of abnormal test results, outreach to patients not recently seen that results in an appointment, discussion to reduce % of patients seeing multiple providers (3 or more), follo</w:t>
      </w:r>
      <w:r>
        <w:rPr>
          <w:sz w:val="20"/>
        </w:rPr>
        <w:t>w-up phone calls to check on the patient after an ER visit (or hospitalization), or following up on pediatric visits to after-hours care</w:t>
      </w:r>
    </w:p>
    <w:p w:rsidR="007C72C4" w:rsidRDefault="007C72C4">
      <w:pPr>
        <w:rPr>
          <w:sz w:val="20"/>
        </w:rPr>
        <w:sectPr w:rsidR="007C72C4">
          <w:pgSz w:w="12240" w:h="15840"/>
          <w:pgMar w:top="1700" w:right="1320" w:bottom="2400" w:left="1340" w:header="742" w:footer="2199" w:gutter="0"/>
          <w:cols w:space="720"/>
        </w:sectPr>
      </w:pPr>
    </w:p>
    <w:p w:rsidR="007C72C4" w:rsidRDefault="00C306A6">
      <w:pPr>
        <w:pStyle w:val="ListParagraph"/>
        <w:numPr>
          <w:ilvl w:val="4"/>
          <w:numId w:val="4"/>
        </w:numPr>
        <w:tabs>
          <w:tab w:val="left" w:pos="1541"/>
        </w:tabs>
        <w:spacing w:before="36" w:line="276" w:lineRule="auto"/>
        <w:ind w:right="113"/>
        <w:jc w:val="both"/>
      </w:pPr>
      <w:r>
        <w:lastRenderedPageBreak/>
        <w:t>Each year, OHIC will create a web-based process on its website for practices to submit</w:t>
      </w:r>
      <w:r>
        <w:rPr>
          <w:spacing w:val="-7"/>
        </w:rPr>
        <w:t xml:space="preserve"> </w:t>
      </w:r>
      <w:r>
        <w:t>the</w:t>
      </w:r>
      <w:r>
        <w:rPr>
          <w:spacing w:val="-7"/>
        </w:rPr>
        <w:t xml:space="preserve"> </w:t>
      </w:r>
      <w:r>
        <w:t>required</w:t>
      </w:r>
      <w:r>
        <w:rPr>
          <w:spacing w:val="-9"/>
        </w:rPr>
        <w:t xml:space="preserve"> </w:t>
      </w:r>
      <w:r>
        <w:t>infor</w:t>
      </w:r>
      <w:r>
        <w:t>mation.</w:t>
      </w:r>
      <w:r>
        <w:rPr>
          <w:spacing w:val="-7"/>
        </w:rPr>
        <w:t xml:space="preserve"> </w:t>
      </w:r>
      <w:r>
        <w:t>Surveys</w:t>
      </w:r>
      <w:r>
        <w:rPr>
          <w:spacing w:val="-9"/>
        </w:rPr>
        <w:t xml:space="preserve"> </w:t>
      </w:r>
      <w:r>
        <w:t>are</w:t>
      </w:r>
      <w:r>
        <w:rPr>
          <w:spacing w:val="-7"/>
        </w:rPr>
        <w:t xml:space="preserve"> </w:t>
      </w:r>
      <w:r>
        <w:t>distributed</w:t>
      </w:r>
      <w:r>
        <w:rPr>
          <w:spacing w:val="-8"/>
        </w:rPr>
        <w:t xml:space="preserve"> </w:t>
      </w:r>
      <w:r>
        <w:t>and</w:t>
      </w:r>
      <w:r>
        <w:rPr>
          <w:spacing w:val="-9"/>
        </w:rPr>
        <w:t xml:space="preserve"> </w:t>
      </w:r>
      <w:r>
        <w:t>posted</w:t>
      </w:r>
      <w:r>
        <w:rPr>
          <w:spacing w:val="-8"/>
        </w:rPr>
        <w:t xml:space="preserve"> </w:t>
      </w:r>
      <w:r>
        <w:t>on</w:t>
      </w:r>
      <w:r>
        <w:rPr>
          <w:spacing w:val="-9"/>
        </w:rPr>
        <w:t xml:space="preserve"> </w:t>
      </w:r>
      <w:r>
        <w:t>the</w:t>
      </w:r>
      <w:r>
        <w:rPr>
          <w:spacing w:val="-9"/>
        </w:rPr>
        <w:t xml:space="preserve"> </w:t>
      </w:r>
      <w:r>
        <w:t>OHIC website in July, and must be completed by October 15</w:t>
      </w:r>
      <w:r>
        <w:rPr>
          <w:position w:val="5"/>
          <w:sz w:val="14"/>
        </w:rPr>
        <w:t xml:space="preserve">th </w:t>
      </w:r>
      <w:r>
        <w:t>(or the closest business day) of each</w:t>
      </w:r>
      <w:r>
        <w:rPr>
          <w:spacing w:val="-2"/>
        </w:rPr>
        <w:t xml:space="preserve"> </w:t>
      </w:r>
      <w:r>
        <w:t>year.</w:t>
      </w:r>
    </w:p>
    <w:p w:rsidR="007C72C4" w:rsidRDefault="00C306A6">
      <w:pPr>
        <w:pStyle w:val="BodyText"/>
        <w:spacing w:line="276" w:lineRule="auto"/>
        <w:ind w:left="2260" w:hanging="300"/>
      </w:pPr>
      <w:r>
        <w:t>i. For 2018 reporting, practices must only complete the</w:t>
      </w:r>
      <w:r>
        <w:rPr>
          <w:color w:val="0000FF"/>
        </w:rPr>
        <w:t xml:space="preserve"> </w:t>
      </w:r>
      <w:hyperlink r:id="rId14">
        <w:r>
          <w:rPr>
            <w:color w:val="0000FF"/>
            <w:u w:val="single" w:color="0000FF"/>
          </w:rPr>
          <w:t>Performance</w:t>
        </w:r>
      </w:hyperlink>
      <w:hyperlink r:id="rId15">
        <w:r>
          <w:rPr>
            <w:color w:val="0000FF"/>
            <w:u w:val="single" w:color="0000FF"/>
          </w:rPr>
          <w:t xml:space="preserve"> Improvement Survey</w:t>
        </w:r>
        <w:r>
          <w:t>.</w:t>
        </w:r>
      </w:hyperlink>
    </w:p>
    <w:p w:rsidR="007C72C4" w:rsidRDefault="007C72C4">
      <w:pPr>
        <w:pStyle w:val="BodyText"/>
        <w:spacing w:before="5"/>
        <w:ind w:left="0" w:firstLine="0"/>
        <w:rPr>
          <w:sz w:val="17"/>
        </w:rPr>
      </w:pPr>
    </w:p>
    <w:p w:rsidR="007C72C4" w:rsidRDefault="00C306A6">
      <w:pPr>
        <w:pStyle w:val="Heading1"/>
        <w:numPr>
          <w:ilvl w:val="3"/>
          <w:numId w:val="4"/>
        </w:numPr>
        <w:tabs>
          <w:tab w:val="left" w:pos="821"/>
        </w:tabs>
        <w:spacing w:before="97"/>
        <w:ind w:hanging="360"/>
        <w:jc w:val="left"/>
      </w:pPr>
      <w:r>
        <w:t>How will practices know if they have met the</w:t>
      </w:r>
      <w:r>
        <w:rPr>
          <w:spacing w:val="-5"/>
        </w:rPr>
        <w:t xml:space="preserve"> </w:t>
      </w:r>
      <w:r>
        <w:t>requirements?</w:t>
      </w:r>
    </w:p>
    <w:p w:rsidR="007C72C4" w:rsidRDefault="00C306A6">
      <w:pPr>
        <w:pStyle w:val="ListParagraph"/>
        <w:numPr>
          <w:ilvl w:val="4"/>
          <w:numId w:val="4"/>
        </w:numPr>
        <w:tabs>
          <w:tab w:val="left" w:pos="1541"/>
        </w:tabs>
        <w:spacing w:before="40" w:line="276" w:lineRule="auto"/>
        <w:ind w:right="120"/>
        <w:jc w:val="both"/>
      </w:pPr>
      <w:r>
        <w:t>OHIC will post on its website a list of practices and which elements of the PCMH definition they have</w:t>
      </w:r>
      <w:r>
        <w:rPr>
          <w:spacing w:val="-3"/>
        </w:rPr>
        <w:t xml:space="preserve"> </w:t>
      </w:r>
      <w:r>
        <w:t>met.</w:t>
      </w:r>
    </w:p>
    <w:p w:rsidR="007C72C4" w:rsidRDefault="00C306A6">
      <w:pPr>
        <w:pStyle w:val="ListParagraph"/>
        <w:numPr>
          <w:ilvl w:val="4"/>
          <w:numId w:val="4"/>
        </w:numPr>
        <w:tabs>
          <w:tab w:val="left" w:pos="1541"/>
        </w:tabs>
      </w:pPr>
      <w:r>
        <w:t>Information will be available the second week in November of each</w:t>
      </w:r>
      <w:r>
        <w:rPr>
          <w:spacing w:val="-13"/>
        </w:rPr>
        <w:t xml:space="preserve"> </w:t>
      </w:r>
      <w:r>
        <w:t>year.</w:t>
      </w:r>
    </w:p>
    <w:p w:rsidR="007C72C4" w:rsidRDefault="00C306A6">
      <w:pPr>
        <w:pStyle w:val="ListParagraph"/>
        <w:numPr>
          <w:ilvl w:val="4"/>
          <w:numId w:val="4"/>
        </w:numPr>
        <w:tabs>
          <w:tab w:val="left" w:pos="1540"/>
          <w:tab w:val="left" w:pos="1541"/>
        </w:tabs>
        <w:spacing w:before="42"/>
      </w:pPr>
      <w:r>
        <w:t>Insurers may elect to audit practice</w:t>
      </w:r>
      <w:r>
        <w:rPr>
          <w:spacing w:val="-5"/>
        </w:rPr>
        <w:t xml:space="preserve"> </w:t>
      </w:r>
      <w:r>
        <w:t>submissions.</w:t>
      </w:r>
    </w:p>
    <w:p w:rsidR="007C72C4" w:rsidRDefault="007C72C4">
      <w:pPr>
        <w:pStyle w:val="BodyText"/>
        <w:spacing w:before="7"/>
        <w:ind w:left="0" w:firstLine="0"/>
        <w:rPr>
          <w:sz w:val="28"/>
        </w:rPr>
      </w:pPr>
    </w:p>
    <w:p w:rsidR="007C72C4" w:rsidRDefault="00C306A6">
      <w:pPr>
        <w:pStyle w:val="Heading1"/>
        <w:numPr>
          <w:ilvl w:val="3"/>
          <w:numId w:val="4"/>
        </w:numPr>
        <w:tabs>
          <w:tab w:val="left" w:pos="821"/>
        </w:tabs>
        <w:ind w:hanging="360"/>
        <w:jc w:val="left"/>
      </w:pPr>
      <w:r>
        <w:t>What help is available to practices to become</w:t>
      </w:r>
      <w:r>
        <w:rPr>
          <w:spacing w:val="-4"/>
        </w:rPr>
        <w:t xml:space="preserve"> </w:t>
      </w:r>
      <w:r>
        <w:t>PCMHs?</w:t>
      </w:r>
    </w:p>
    <w:p w:rsidR="007C72C4" w:rsidRDefault="00C306A6">
      <w:pPr>
        <w:pStyle w:val="ListParagraph"/>
        <w:numPr>
          <w:ilvl w:val="4"/>
          <w:numId w:val="4"/>
        </w:numPr>
        <w:tabs>
          <w:tab w:val="left" w:pos="1541"/>
        </w:tabs>
        <w:spacing w:before="40" w:line="276" w:lineRule="auto"/>
        <w:ind w:right="113"/>
        <w:jc w:val="both"/>
      </w:pPr>
      <w:r>
        <w:t>There are currently two state-wide programs available. One is the Care Transformation Collaborative (CTC-RI) which includes adult practices and pediatric</w:t>
      </w:r>
      <w:r>
        <w:rPr>
          <w:spacing w:val="-9"/>
        </w:rPr>
        <w:t xml:space="preserve"> </w:t>
      </w:r>
      <w:r>
        <w:t>practices</w:t>
      </w:r>
      <w:r>
        <w:rPr>
          <w:spacing w:val="-10"/>
        </w:rPr>
        <w:t xml:space="preserve"> </w:t>
      </w:r>
      <w:r>
        <w:t>though</w:t>
      </w:r>
      <w:r>
        <w:rPr>
          <w:spacing w:val="-9"/>
        </w:rPr>
        <w:t xml:space="preserve"> </w:t>
      </w:r>
      <w:r>
        <w:t>a</w:t>
      </w:r>
      <w:r>
        <w:rPr>
          <w:spacing w:val="-10"/>
        </w:rPr>
        <w:t xml:space="preserve"> </w:t>
      </w:r>
      <w:r>
        <w:t>PCMH-Kids</w:t>
      </w:r>
      <w:r>
        <w:rPr>
          <w:spacing w:val="-10"/>
        </w:rPr>
        <w:t xml:space="preserve"> </w:t>
      </w:r>
      <w:r>
        <w:t>contract,</w:t>
      </w:r>
      <w:r>
        <w:rPr>
          <w:spacing w:val="-12"/>
        </w:rPr>
        <w:t xml:space="preserve"> </w:t>
      </w:r>
      <w:r>
        <w:t>which</w:t>
      </w:r>
      <w:r>
        <w:rPr>
          <w:spacing w:val="-9"/>
        </w:rPr>
        <w:t xml:space="preserve"> </w:t>
      </w:r>
      <w:r>
        <w:t>is</w:t>
      </w:r>
      <w:r>
        <w:rPr>
          <w:spacing w:val="-9"/>
        </w:rPr>
        <w:t xml:space="preserve"> </w:t>
      </w:r>
      <w:r>
        <w:t>s</w:t>
      </w:r>
      <w:r>
        <w:t>upported</w:t>
      </w:r>
      <w:r>
        <w:rPr>
          <w:spacing w:val="-10"/>
        </w:rPr>
        <w:t xml:space="preserve"> </w:t>
      </w:r>
      <w:r>
        <w:t>by</w:t>
      </w:r>
      <w:r>
        <w:rPr>
          <w:spacing w:val="-10"/>
        </w:rPr>
        <w:t xml:space="preserve"> </w:t>
      </w:r>
      <w:r>
        <w:t>all</w:t>
      </w:r>
      <w:r>
        <w:rPr>
          <w:spacing w:val="-9"/>
        </w:rPr>
        <w:t xml:space="preserve"> </w:t>
      </w:r>
      <w:r>
        <w:t>major RI health plans. CTC-RI has been operating since 2008 and currently supports 69 active sites and 42 alumni practices that have graduated from the program. These figures represent 525 primary care providers that serve approximately 340</w:t>
      </w:r>
      <w:r>
        <w:t>,000 Rhode Islanders. For more information contact:</w:t>
      </w:r>
      <w:r>
        <w:rPr>
          <w:color w:val="2B58A8"/>
          <w:spacing w:val="-4"/>
          <w:shd w:val="clear" w:color="auto" w:fill="FBFBFB"/>
        </w:rPr>
        <w:t xml:space="preserve"> </w:t>
      </w:r>
      <w:hyperlink r:id="rId16">
        <w:r>
          <w:rPr>
            <w:color w:val="2B58A8"/>
            <w:sz w:val="21"/>
            <w:u w:val="single" w:color="2B58A8"/>
            <w:shd w:val="clear" w:color="auto" w:fill="FBFBFB"/>
          </w:rPr>
          <w:t>CTC-RI@ctc-ri.org</w:t>
        </w:r>
      </w:hyperlink>
      <w:r>
        <w:t>.</w:t>
      </w:r>
    </w:p>
    <w:p w:rsidR="007C72C4" w:rsidRDefault="00C306A6">
      <w:pPr>
        <w:pStyle w:val="ListParagraph"/>
        <w:numPr>
          <w:ilvl w:val="4"/>
          <w:numId w:val="4"/>
        </w:numPr>
        <w:tabs>
          <w:tab w:val="left" w:pos="1541"/>
        </w:tabs>
        <w:spacing w:line="276" w:lineRule="auto"/>
        <w:ind w:right="115"/>
        <w:jc w:val="both"/>
      </w:pPr>
      <w:r>
        <w:t xml:space="preserve">The Rhode Island Quality Institute (RIQI) received a multi-million dollar federal grant to help practices (both primary care and specialty) </w:t>
      </w:r>
      <w:r>
        <w:t>learn to implement quality improvement initiatives, which is foundational to being a PCMH. For more information contact:</w:t>
      </w:r>
      <w:r>
        <w:rPr>
          <w:color w:val="0000FF"/>
          <w:spacing w:val="-2"/>
        </w:rPr>
        <w:t xml:space="preserve"> </w:t>
      </w:r>
      <w:hyperlink r:id="rId17">
        <w:r>
          <w:rPr>
            <w:color w:val="0000FF"/>
            <w:u w:val="single" w:color="0000FF"/>
          </w:rPr>
          <w:t>info@riqi.org</w:t>
        </w:r>
      </w:hyperlink>
      <w:r>
        <w:t>.</w:t>
      </w:r>
    </w:p>
    <w:p w:rsidR="007C72C4" w:rsidRDefault="00C306A6">
      <w:pPr>
        <w:pStyle w:val="ListParagraph"/>
        <w:numPr>
          <w:ilvl w:val="4"/>
          <w:numId w:val="4"/>
        </w:numPr>
        <w:tabs>
          <w:tab w:val="left" w:pos="1540"/>
          <w:tab w:val="left" w:pos="1541"/>
        </w:tabs>
        <w:spacing w:before="1"/>
      </w:pPr>
      <w:r>
        <w:t>Some health plans and ACOs also provide care transformation</w:t>
      </w:r>
      <w:r>
        <w:rPr>
          <w:spacing w:val="-10"/>
        </w:rPr>
        <w:t xml:space="preserve"> </w:t>
      </w:r>
      <w:r>
        <w:t>support.</w:t>
      </w:r>
    </w:p>
    <w:p w:rsidR="007C72C4" w:rsidRDefault="007C72C4">
      <w:pPr>
        <w:pStyle w:val="BodyText"/>
        <w:spacing w:before="6"/>
        <w:ind w:left="0" w:firstLine="0"/>
        <w:rPr>
          <w:sz w:val="28"/>
        </w:rPr>
      </w:pPr>
    </w:p>
    <w:p w:rsidR="007C72C4" w:rsidRDefault="00C306A6">
      <w:pPr>
        <w:pStyle w:val="Heading1"/>
        <w:numPr>
          <w:ilvl w:val="3"/>
          <w:numId w:val="4"/>
        </w:numPr>
        <w:tabs>
          <w:tab w:val="left" w:pos="821"/>
        </w:tabs>
        <w:spacing w:before="1"/>
        <w:ind w:hanging="360"/>
        <w:jc w:val="left"/>
      </w:pPr>
      <w:r>
        <w:t>If a practice meets the definition of PCMH, when will it get Support</w:t>
      </w:r>
      <w:r>
        <w:rPr>
          <w:spacing w:val="-18"/>
        </w:rPr>
        <w:t xml:space="preserve"> </w:t>
      </w:r>
      <w:r>
        <w:t>Payments?</w:t>
      </w:r>
    </w:p>
    <w:p w:rsidR="007C72C4" w:rsidRDefault="00C306A6">
      <w:pPr>
        <w:pStyle w:val="ListParagraph"/>
        <w:numPr>
          <w:ilvl w:val="4"/>
          <w:numId w:val="4"/>
        </w:numPr>
        <w:tabs>
          <w:tab w:val="left" w:pos="1541"/>
        </w:tabs>
        <w:spacing w:before="40" w:line="276" w:lineRule="auto"/>
        <w:ind w:right="112"/>
        <w:jc w:val="both"/>
      </w:pPr>
      <w:r>
        <w:t>Commercial health plans are obligated to pay practices Support Payments when the health plan includes the practice in its OHIC PCMH target count. Plans may make the payments dir</w:t>
      </w:r>
      <w:r>
        <w:t>ectly to the practice or to the contracting entity with</w:t>
      </w:r>
      <w:r>
        <w:rPr>
          <w:spacing w:val="-36"/>
        </w:rPr>
        <w:t xml:space="preserve"> </w:t>
      </w:r>
      <w:r>
        <w:t>which the practice is affiliated. Plans are not obligated to pay Support Payments to practices that meet the OHIC PCMH definition, but are not included in the health plan’s PCMH target</w:t>
      </w:r>
      <w:r>
        <w:rPr>
          <w:spacing w:val="-2"/>
        </w:rPr>
        <w:t xml:space="preserve"> </w:t>
      </w:r>
      <w:r>
        <w:t>count.</w:t>
      </w:r>
    </w:p>
    <w:p w:rsidR="007C72C4" w:rsidRDefault="00C306A6">
      <w:pPr>
        <w:pStyle w:val="ListParagraph"/>
        <w:numPr>
          <w:ilvl w:val="4"/>
          <w:numId w:val="4"/>
        </w:numPr>
        <w:tabs>
          <w:tab w:val="left" w:pos="1541"/>
        </w:tabs>
        <w:spacing w:line="276" w:lineRule="auto"/>
        <w:ind w:right="114"/>
        <w:jc w:val="both"/>
      </w:pPr>
      <w:r>
        <w:t>The heal</w:t>
      </w:r>
      <w:r>
        <w:t>th plan must make payments every year that the practice is included in the PCMH target count. OHIC will be assessing practice achievement in October of</w:t>
      </w:r>
      <w:r>
        <w:rPr>
          <w:spacing w:val="30"/>
        </w:rPr>
        <w:t xml:space="preserve"> </w:t>
      </w:r>
      <w:r>
        <w:t>each</w:t>
      </w:r>
      <w:r>
        <w:rPr>
          <w:spacing w:val="30"/>
        </w:rPr>
        <w:t xml:space="preserve"> </w:t>
      </w:r>
      <w:r>
        <w:t>year.</w:t>
      </w:r>
      <w:r>
        <w:rPr>
          <w:spacing w:val="3"/>
        </w:rPr>
        <w:t xml:space="preserve"> </w:t>
      </w:r>
      <w:r>
        <w:t>A</w:t>
      </w:r>
      <w:r>
        <w:rPr>
          <w:spacing w:val="30"/>
        </w:rPr>
        <w:t xml:space="preserve"> </w:t>
      </w:r>
      <w:r>
        <w:t>practice</w:t>
      </w:r>
      <w:r>
        <w:rPr>
          <w:spacing w:val="30"/>
        </w:rPr>
        <w:t xml:space="preserve"> </w:t>
      </w:r>
      <w:r>
        <w:t>that</w:t>
      </w:r>
      <w:r>
        <w:rPr>
          <w:spacing w:val="30"/>
        </w:rPr>
        <w:t xml:space="preserve"> </w:t>
      </w:r>
      <w:r>
        <w:t>newly</w:t>
      </w:r>
      <w:r>
        <w:rPr>
          <w:spacing w:val="28"/>
        </w:rPr>
        <w:t xml:space="preserve"> </w:t>
      </w:r>
      <w:r>
        <w:t>meets</w:t>
      </w:r>
      <w:r>
        <w:rPr>
          <w:spacing w:val="30"/>
        </w:rPr>
        <w:t xml:space="preserve"> </w:t>
      </w:r>
      <w:r>
        <w:t>the</w:t>
      </w:r>
      <w:r>
        <w:rPr>
          <w:spacing w:val="30"/>
        </w:rPr>
        <w:t xml:space="preserve"> </w:t>
      </w:r>
      <w:r>
        <w:t>definition</w:t>
      </w:r>
      <w:r>
        <w:rPr>
          <w:spacing w:val="30"/>
        </w:rPr>
        <w:t xml:space="preserve"> </w:t>
      </w:r>
      <w:r>
        <w:t>can</w:t>
      </w:r>
      <w:r>
        <w:rPr>
          <w:spacing w:val="30"/>
        </w:rPr>
        <w:t xml:space="preserve"> </w:t>
      </w:r>
      <w:r>
        <w:t>expect</w:t>
      </w:r>
      <w:r>
        <w:rPr>
          <w:spacing w:val="30"/>
        </w:rPr>
        <w:t xml:space="preserve"> </w:t>
      </w:r>
      <w:r>
        <w:t>to</w:t>
      </w:r>
      <w:r>
        <w:rPr>
          <w:spacing w:val="26"/>
        </w:rPr>
        <w:t xml:space="preserve"> </w:t>
      </w:r>
      <w:r>
        <w:t>receive</w:t>
      </w:r>
    </w:p>
    <w:p w:rsidR="007C72C4" w:rsidRDefault="007C72C4">
      <w:pPr>
        <w:spacing w:line="276" w:lineRule="auto"/>
        <w:jc w:val="both"/>
        <w:sectPr w:rsidR="007C72C4">
          <w:pgSz w:w="12240" w:h="15840"/>
          <w:pgMar w:top="1700" w:right="1320" w:bottom="2420" w:left="1340" w:header="742" w:footer="2199" w:gutter="0"/>
          <w:cols w:space="720"/>
        </w:sectPr>
      </w:pPr>
    </w:p>
    <w:p w:rsidR="007C72C4" w:rsidRDefault="00C306A6">
      <w:pPr>
        <w:pStyle w:val="BodyText"/>
        <w:spacing w:before="36" w:line="276" w:lineRule="auto"/>
        <w:ind w:firstLine="0"/>
      </w:pPr>
      <w:r>
        <w:lastRenderedPageBreak/>
        <w:t>payment during the next calendar year following OHIC PCMH recognition, if the practice is to be included in the health plan’s PCMH target count for OHIC.</w:t>
      </w:r>
    </w:p>
    <w:p w:rsidR="007C72C4" w:rsidRDefault="007C72C4">
      <w:pPr>
        <w:pStyle w:val="BodyText"/>
        <w:spacing w:before="3"/>
        <w:ind w:left="0" w:firstLine="0"/>
        <w:rPr>
          <w:sz w:val="25"/>
        </w:rPr>
      </w:pPr>
    </w:p>
    <w:p w:rsidR="007C72C4" w:rsidRDefault="00C306A6">
      <w:pPr>
        <w:pStyle w:val="Heading1"/>
        <w:numPr>
          <w:ilvl w:val="3"/>
          <w:numId w:val="4"/>
        </w:numPr>
        <w:tabs>
          <w:tab w:val="left" w:pos="821"/>
        </w:tabs>
        <w:ind w:hanging="360"/>
        <w:jc w:val="left"/>
      </w:pPr>
      <w:r>
        <w:t>How much will the Support Payment be to</w:t>
      </w:r>
      <w:r>
        <w:rPr>
          <w:spacing w:val="-11"/>
        </w:rPr>
        <w:t xml:space="preserve"> </w:t>
      </w:r>
      <w:r>
        <w:t>practices?</w:t>
      </w:r>
    </w:p>
    <w:p w:rsidR="007C72C4" w:rsidRDefault="00C306A6">
      <w:pPr>
        <w:pStyle w:val="ListParagraph"/>
        <w:numPr>
          <w:ilvl w:val="4"/>
          <w:numId w:val="4"/>
        </w:numPr>
        <w:tabs>
          <w:tab w:val="left" w:pos="1541"/>
        </w:tabs>
        <w:spacing w:before="40" w:line="276" w:lineRule="auto"/>
        <w:ind w:right="114"/>
        <w:jc w:val="both"/>
      </w:pPr>
      <w:r>
        <w:t>The level of Support Payments will be negotiated b</w:t>
      </w:r>
      <w:r>
        <w:t>etween the practice and the health plans. OHIC is not setting a payment level, but has told health plans that the levels must be meaningful to the</w:t>
      </w:r>
      <w:r>
        <w:rPr>
          <w:spacing w:val="-5"/>
        </w:rPr>
        <w:t xml:space="preserve"> </w:t>
      </w:r>
      <w:r>
        <w:t>practices.</w:t>
      </w:r>
    </w:p>
    <w:p w:rsidR="007C72C4" w:rsidRDefault="007C72C4">
      <w:pPr>
        <w:pStyle w:val="BodyText"/>
        <w:spacing w:before="3"/>
        <w:ind w:left="0" w:firstLine="0"/>
        <w:rPr>
          <w:sz w:val="25"/>
        </w:rPr>
      </w:pPr>
    </w:p>
    <w:p w:rsidR="007C72C4" w:rsidRDefault="00C306A6">
      <w:pPr>
        <w:pStyle w:val="Heading1"/>
        <w:numPr>
          <w:ilvl w:val="3"/>
          <w:numId w:val="4"/>
        </w:numPr>
        <w:tabs>
          <w:tab w:val="left" w:pos="821"/>
        </w:tabs>
        <w:ind w:hanging="360"/>
        <w:jc w:val="left"/>
      </w:pPr>
      <w:r>
        <w:t>Do the payments apply to all of my patients, or only certain</w:t>
      </w:r>
      <w:r>
        <w:rPr>
          <w:spacing w:val="-13"/>
        </w:rPr>
        <w:t xml:space="preserve"> </w:t>
      </w:r>
      <w:r>
        <w:t>ones?</w:t>
      </w:r>
    </w:p>
    <w:p w:rsidR="007C72C4" w:rsidRDefault="00C306A6">
      <w:pPr>
        <w:pStyle w:val="ListParagraph"/>
        <w:numPr>
          <w:ilvl w:val="4"/>
          <w:numId w:val="4"/>
        </w:numPr>
        <w:tabs>
          <w:tab w:val="left" w:pos="1541"/>
        </w:tabs>
        <w:spacing w:before="40" w:line="276" w:lineRule="auto"/>
        <w:ind w:right="114"/>
        <w:jc w:val="both"/>
      </w:pPr>
      <w:r>
        <w:t xml:space="preserve">OHIC has regulatory authority </w:t>
      </w:r>
      <w:r>
        <w:t>only over fully insured commercial health plans. Therefore,</w:t>
      </w:r>
      <w:r>
        <w:rPr>
          <w:spacing w:val="-13"/>
        </w:rPr>
        <w:t xml:space="preserve"> </w:t>
      </w:r>
      <w:r>
        <w:t>payments</w:t>
      </w:r>
      <w:r>
        <w:rPr>
          <w:spacing w:val="-13"/>
        </w:rPr>
        <w:t xml:space="preserve"> </w:t>
      </w:r>
      <w:r>
        <w:t>must</w:t>
      </w:r>
      <w:r>
        <w:rPr>
          <w:spacing w:val="-13"/>
        </w:rPr>
        <w:t xml:space="preserve"> </w:t>
      </w:r>
      <w:r>
        <w:t>apply</w:t>
      </w:r>
      <w:r>
        <w:rPr>
          <w:spacing w:val="-13"/>
        </w:rPr>
        <w:t xml:space="preserve"> </w:t>
      </w:r>
      <w:r>
        <w:t>to</w:t>
      </w:r>
      <w:r>
        <w:rPr>
          <w:spacing w:val="-14"/>
        </w:rPr>
        <w:t xml:space="preserve"> </w:t>
      </w:r>
      <w:r>
        <w:t>your</w:t>
      </w:r>
      <w:r>
        <w:rPr>
          <w:spacing w:val="-14"/>
        </w:rPr>
        <w:t xml:space="preserve"> </w:t>
      </w:r>
      <w:r>
        <w:t>patients</w:t>
      </w:r>
      <w:r>
        <w:rPr>
          <w:spacing w:val="-13"/>
        </w:rPr>
        <w:t xml:space="preserve"> </w:t>
      </w:r>
      <w:r>
        <w:t>who</w:t>
      </w:r>
      <w:r>
        <w:rPr>
          <w:spacing w:val="-14"/>
        </w:rPr>
        <w:t xml:space="preserve"> </w:t>
      </w:r>
      <w:r>
        <w:t>are</w:t>
      </w:r>
      <w:r>
        <w:rPr>
          <w:spacing w:val="-13"/>
        </w:rPr>
        <w:t xml:space="preserve"> </w:t>
      </w:r>
      <w:r>
        <w:t>covered</w:t>
      </w:r>
      <w:r>
        <w:rPr>
          <w:spacing w:val="-14"/>
        </w:rPr>
        <w:t xml:space="preserve"> </w:t>
      </w:r>
      <w:r>
        <w:t>by</w:t>
      </w:r>
      <w:r>
        <w:rPr>
          <w:spacing w:val="-14"/>
        </w:rPr>
        <w:t xml:space="preserve"> </w:t>
      </w:r>
      <w:r>
        <w:t>fully</w:t>
      </w:r>
      <w:r>
        <w:rPr>
          <w:spacing w:val="-15"/>
        </w:rPr>
        <w:t xml:space="preserve"> </w:t>
      </w:r>
      <w:r>
        <w:t>insured benefits. The OHIC regulations also require that fully insured accounts not shoulder</w:t>
      </w:r>
      <w:r>
        <w:rPr>
          <w:spacing w:val="-10"/>
        </w:rPr>
        <w:t xml:space="preserve"> </w:t>
      </w:r>
      <w:r>
        <w:t>more</w:t>
      </w:r>
      <w:r>
        <w:rPr>
          <w:spacing w:val="-10"/>
        </w:rPr>
        <w:t xml:space="preserve"> </w:t>
      </w:r>
      <w:r>
        <w:t>than</w:t>
      </w:r>
      <w:r>
        <w:rPr>
          <w:spacing w:val="-9"/>
        </w:rPr>
        <w:t xml:space="preserve"> </w:t>
      </w:r>
      <w:r>
        <w:t>their</w:t>
      </w:r>
      <w:r>
        <w:rPr>
          <w:spacing w:val="-12"/>
        </w:rPr>
        <w:t xml:space="preserve"> </w:t>
      </w:r>
      <w:r>
        <w:t>fair</w:t>
      </w:r>
      <w:r>
        <w:rPr>
          <w:spacing w:val="-10"/>
        </w:rPr>
        <w:t xml:space="preserve"> </w:t>
      </w:r>
      <w:r>
        <w:t>share</w:t>
      </w:r>
      <w:r>
        <w:rPr>
          <w:spacing w:val="-10"/>
        </w:rPr>
        <w:t xml:space="preserve"> </w:t>
      </w:r>
      <w:r>
        <w:t>of</w:t>
      </w:r>
      <w:r>
        <w:rPr>
          <w:spacing w:val="-9"/>
        </w:rPr>
        <w:t xml:space="preserve"> </w:t>
      </w:r>
      <w:r>
        <w:t>the</w:t>
      </w:r>
      <w:r>
        <w:rPr>
          <w:spacing w:val="-12"/>
        </w:rPr>
        <w:t xml:space="preserve"> </w:t>
      </w:r>
      <w:r>
        <w:t>costs</w:t>
      </w:r>
      <w:r>
        <w:rPr>
          <w:spacing w:val="-10"/>
        </w:rPr>
        <w:t xml:space="preserve"> </w:t>
      </w:r>
      <w:r>
        <w:t>of</w:t>
      </w:r>
      <w:r>
        <w:rPr>
          <w:spacing w:val="-9"/>
        </w:rPr>
        <w:t xml:space="preserve"> </w:t>
      </w:r>
      <w:r>
        <w:t>the</w:t>
      </w:r>
      <w:r>
        <w:rPr>
          <w:spacing w:val="-10"/>
        </w:rPr>
        <w:t xml:space="preserve"> </w:t>
      </w:r>
      <w:r>
        <w:t>PCMH</w:t>
      </w:r>
      <w:r>
        <w:rPr>
          <w:spacing w:val="-9"/>
        </w:rPr>
        <w:t xml:space="preserve"> </w:t>
      </w:r>
      <w:r>
        <w:t>recognition</w:t>
      </w:r>
      <w:r>
        <w:rPr>
          <w:spacing w:val="-9"/>
        </w:rPr>
        <w:t xml:space="preserve"> </w:t>
      </w:r>
      <w:r>
        <w:t>program.</w:t>
      </w:r>
    </w:p>
    <w:p w:rsidR="007C72C4" w:rsidRDefault="00C306A6">
      <w:pPr>
        <w:pStyle w:val="ListParagraph"/>
        <w:numPr>
          <w:ilvl w:val="4"/>
          <w:numId w:val="4"/>
        </w:numPr>
        <w:tabs>
          <w:tab w:val="left" w:pos="1541"/>
        </w:tabs>
        <w:spacing w:before="1" w:line="276" w:lineRule="auto"/>
        <w:ind w:right="114"/>
        <w:jc w:val="both"/>
      </w:pPr>
      <w:r>
        <w:t>Historically, the health plans have also made payments for patients covered by self-insured accounts for practices participating in CTC-RI. OHIC anticipates, but cannot require, that they will continue to do</w:t>
      </w:r>
      <w:r>
        <w:rPr>
          <w:spacing w:val="-10"/>
        </w:rPr>
        <w:t xml:space="preserve"> </w:t>
      </w:r>
      <w:r>
        <w:t>so.</w:t>
      </w:r>
    </w:p>
    <w:p w:rsidR="007C72C4" w:rsidRDefault="007C72C4">
      <w:pPr>
        <w:pStyle w:val="BodyText"/>
        <w:spacing w:before="3"/>
        <w:ind w:left="0" w:firstLine="0"/>
        <w:rPr>
          <w:sz w:val="25"/>
        </w:rPr>
      </w:pPr>
    </w:p>
    <w:p w:rsidR="007C72C4" w:rsidRDefault="00C306A6">
      <w:pPr>
        <w:pStyle w:val="Heading1"/>
        <w:numPr>
          <w:ilvl w:val="3"/>
          <w:numId w:val="4"/>
        </w:numPr>
        <w:tabs>
          <w:tab w:val="left" w:pos="821"/>
        </w:tabs>
        <w:ind w:hanging="360"/>
        <w:jc w:val="left"/>
      </w:pPr>
      <w:r>
        <w:t>What happe</w:t>
      </w:r>
      <w:r>
        <w:t>ns if the practice does not meet the definition of</w:t>
      </w:r>
      <w:r>
        <w:rPr>
          <w:spacing w:val="-8"/>
        </w:rPr>
        <w:t xml:space="preserve"> </w:t>
      </w:r>
      <w:r>
        <w:t>PCMH?</w:t>
      </w:r>
    </w:p>
    <w:p w:rsidR="007C72C4" w:rsidRDefault="00C306A6">
      <w:pPr>
        <w:pStyle w:val="ListParagraph"/>
        <w:numPr>
          <w:ilvl w:val="4"/>
          <w:numId w:val="4"/>
        </w:numPr>
        <w:tabs>
          <w:tab w:val="left" w:pos="1541"/>
        </w:tabs>
        <w:spacing w:before="40" w:line="276" w:lineRule="auto"/>
        <w:ind w:right="116"/>
        <w:jc w:val="both"/>
      </w:pPr>
      <w:r>
        <w:t>If</w:t>
      </w:r>
      <w:r>
        <w:rPr>
          <w:spacing w:val="-10"/>
        </w:rPr>
        <w:t xml:space="preserve"> </w:t>
      </w:r>
      <w:r>
        <w:t>the</w:t>
      </w:r>
      <w:r>
        <w:rPr>
          <w:spacing w:val="-11"/>
        </w:rPr>
        <w:t xml:space="preserve"> </w:t>
      </w:r>
      <w:r>
        <w:t>practice</w:t>
      </w:r>
      <w:r>
        <w:rPr>
          <w:spacing w:val="-11"/>
        </w:rPr>
        <w:t xml:space="preserve"> </w:t>
      </w:r>
      <w:r>
        <w:t>does</w:t>
      </w:r>
      <w:r>
        <w:rPr>
          <w:spacing w:val="-10"/>
        </w:rPr>
        <w:t xml:space="preserve"> </w:t>
      </w:r>
      <w:r>
        <w:t>not</w:t>
      </w:r>
      <w:r>
        <w:rPr>
          <w:spacing w:val="-11"/>
        </w:rPr>
        <w:t xml:space="preserve"> </w:t>
      </w:r>
      <w:r>
        <w:t>meet</w:t>
      </w:r>
      <w:r>
        <w:rPr>
          <w:spacing w:val="-11"/>
        </w:rPr>
        <w:t xml:space="preserve"> </w:t>
      </w:r>
      <w:r>
        <w:t>the</w:t>
      </w:r>
      <w:r>
        <w:rPr>
          <w:spacing w:val="-11"/>
        </w:rPr>
        <w:t xml:space="preserve"> </w:t>
      </w:r>
      <w:r>
        <w:t>PCMH</w:t>
      </w:r>
      <w:r>
        <w:rPr>
          <w:spacing w:val="-10"/>
        </w:rPr>
        <w:t xml:space="preserve"> </w:t>
      </w:r>
      <w:r>
        <w:t>definition,</w:t>
      </w:r>
      <w:r>
        <w:rPr>
          <w:spacing w:val="-13"/>
        </w:rPr>
        <w:t xml:space="preserve"> </w:t>
      </w:r>
      <w:r>
        <w:t>the</w:t>
      </w:r>
      <w:r>
        <w:rPr>
          <w:spacing w:val="-11"/>
        </w:rPr>
        <w:t xml:space="preserve"> </w:t>
      </w:r>
      <w:r>
        <w:t>health</w:t>
      </w:r>
      <w:r>
        <w:rPr>
          <w:spacing w:val="-10"/>
        </w:rPr>
        <w:t xml:space="preserve"> </w:t>
      </w:r>
      <w:r>
        <w:t>plans</w:t>
      </w:r>
      <w:r>
        <w:rPr>
          <w:spacing w:val="-11"/>
        </w:rPr>
        <w:t xml:space="preserve"> </w:t>
      </w:r>
      <w:r>
        <w:t>will</w:t>
      </w:r>
      <w:r>
        <w:rPr>
          <w:spacing w:val="-13"/>
        </w:rPr>
        <w:t xml:space="preserve"> </w:t>
      </w:r>
      <w:r>
        <w:t>not</w:t>
      </w:r>
      <w:r>
        <w:rPr>
          <w:spacing w:val="-11"/>
        </w:rPr>
        <w:t xml:space="preserve"> </w:t>
      </w:r>
      <w:r>
        <w:t>be</w:t>
      </w:r>
      <w:r>
        <w:rPr>
          <w:spacing w:val="-11"/>
        </w:rPr>
        <w:t xml:space="preserve"> </w:t>
      </w:r>
      <w:r>
        <w:t>able to include them in their PCMH target</w:t>
      </w:r>
      <w:r>
        <w:rPr>
          <w:spacing w:val="-4"/>
        </w:rPr>
        <w:t xml:space="preserve"> </w:t>
      </w:r>
      <w:r>
        <w:t>count.</w:t>
      </w:r>
    </w:p>
    <w:p w:rsidR="007C72C4" w:rsidRDefault="00C306A6">
      <w:pPr>
        <w:pStyle w:val="ListParagraph"/>
        <w:numPr>
          <w:ilvl w:val="4"/>
          <w:numId w:val="4"/>
        </w:numPr>
        <w:tabs>
          <w:tab w:val="left" w:pos="1541"/>
        </w:tabs>
        <w:spacing w:line="276" w:lineRule="auto"/>
        <w:ind w:right="115"/>
        <w:jc w:val="both"/>
      </w:pPr>
      <w:r>
        <w:t>While</w:t>
      </w:r>
      <w:r>
        <w:rPr>
          <w:spacing w:val="-11"/>
        </w:rPr>
        <w:t xml:space="preserve"> </w:t>
      </w:r>
      <w:r>
        <w:t>under</w:t>
      </w:r>
      <w:r>
        <w:rPr>
          <w:spacing w:val="-12"/>
        </w:rPr>
        <w:t xml:space="preserve"> </w:t>
      </w:r>
      <w:r>
        <w:t>OHIC</w:t>
      </w:r>
      <w:r>
        <w:rPr>
          <w:spacing w:val="-11"/>
        </w:rPr>
        <w:t xml:space="preserve"> </w:t>
      </w:r>
      <w:r>
        <w:t>regulations</w:t>
      </w:r>
      <w:r>
        <w:rPr>
          <w:spacing w:val="-10"/>
        </w:rPr>
        <w:t xml:space="preserve"> </w:t>
      </w:r>
      <w:r>
        <w:t>the</w:t>
      </w:r>
      <w:r>
        <w:rPr>
          <w:spacing w:val="-11"/>
        </w:rPr>
        <w:t xml:space="preserve"> </w:t>
      </w:r>
      <w:r>
        <w:t>health</w:t>
      </w:r>
      <w:r>
        <w:rPr>
          <w:spacing w:val="-9"/>
        </w:rPr>
        <w:t xml:space="preserve"> </w:t>
      </w:r>
      <w:r>
        <w:t>plan</w:t>
      </w:r>
      <w:r>
        <w:rPr>
          <w:spacing w:val="-9"/>
        </w:rPr>
        <w:t xml:space="preserve"> </w:t>
      </w:r>
      <w:r>
        <w:t>will</w:t>
      </w:r>
      <w:r>
        <w:rPr>
          <w:spacing w:val="-11"/>
        </w:rPr>
        <w:t xml:space="preserve"> </w:t>
      </w:r>
      <w:r>
        <w:t>no</w:t>
      </w:r>
      <w:r>
        <w:rPr>
          <w:spacing w:val="-11"/>
        </w:rPr>
        <w:t xml:space="preserve"> </w:t>
      </w:r>
      <w:r>
        <w:t>longer</w:t>
      </w:r>
      <w:r>
        <w:rPr>
          <w:spacing w:val="-12"/>
        </w:rPr>
        <w:t xml:space="preserve"> </w:t>
      </w:r>
      <w:r>
        <w:t>be</w:t>
      </w:r>
      <w:r>
        <w:rPr>
          <w:spacing w:val="-11"/>
        </w:rPr>
        <w:t xml:space="preserve"> </w:t>
      </w:r>
      <w:r>
        <w:t>obligated</w:t>
      </w:r>
      <w:r>
        <w:rPr>
          <w:spacing w:val="-11"/>
        </w:rPr>
        <w:t xml:space="preserve"> </w:t>
      </w:r>
      <w:r>
        <w:t>to</w:t>
      </w:r>
      <w:r>
        <w:rPr>
          <w:spacing w:val="-11"/>
        </w:rPr>
        <w:t xml:space="preserve"> </w:t>
      </w:r>
      <w:r>
        <w:t>make Support Payments if the practice does not meet the PCMH definition, the health plan will not be precluded from doing so. Final decisions on whether a practice that doesn’t meet the definition shall receive support payments is the responsi</w:t>
      </w:r>
      <w:r>
        <w:t>bility of the payer. Payers reserve the right to do review the accuracy of practice self-attestation for the purposes of determining</w:t>
      </w:r>
      <w:r>
        <w:rPr>
          <w:spacing w:val="-8"/>
        </w:rPr>
        <w:t xml:space="preserve"> </w:t>
      </w:r>
      <w:r>
        <w:t>payments.</w:t>
      </w:r>
    </w:p>
    <w:p w:rsidR="007C72C4" w:rsidRDefault="007C72C4">
      <w:pPr>
        <w:pStyle w:val="BodyText"/>
        <w:spacing w:before="4"/>
        <w:ind w:left="0" w:firstLine="0"/>
        <w:rPr>
          <w:sz w:val="25"/>
        </w:rPr>
      </w:pPr>
    </w:p>
    <w:p w:rsidR="007C72C4" w:rsidRDefault="00C306A6">
      <w:pPr>
        <w:pStyle w:val="Heading1"/>
        <w:numPr>
          <w:ilvl w:val="3"/>
          <w:numId w:val="4"/>
        </w:numPr>
        <w:tabs>
          <w:tab w:val="left" w:pos="821"/>
        </w:tabs>
        <w:ind w:hanging="360"/>
        <w:jc w:val="left"/>
      </w:pPr>
      <w:r>
        <w:t>Can practices resubmit data to meet the PCMH</w:t>
      </w:r>
      <w:r>
        <w:rPr>
          <w:spacing w:val="-12"/>
        </w:rPr>
        <w:t xml:space="preserve"> </w:t>
      </w:r>
      <w:r>
        <w:t>definition?</w:t>
      </w:r>
    </w:p>
    <w:p w:rsidR="007C72C4" w:rsidRDefault="00C306A6">
      <w:pPr>
        <w:pStyle w:val="ListParagraph"/>
        <w:numPr>
          <w:ilvl w:val="4"/>
          <w:numId w:val="4"/>
        </w:numPr>
        <w:tabs>
          <w:tab w:val="left" w:pos="1541"/>
        </w:tabs>
        <w:spacing w:before="40" w:line="276" w:lineRule="auto"/>
        <w:ind w:right="114"/>
        <w:jc w:val="both"/>
      </w:pPr>
      <w:r>
        <w:t>Practices may submit data annually to OHIC, as described in the response to question 3, above. Any questions about reporting or resubmitting data can be directed to</w:t>
      </w:r>
      <w:r>
        <w:rPr>
          <w:color w:val="0000FF"/>
          <w:spacing w:val="-2"/>
        </w:rPr>
        <w:t xml:space="preserve"> </w:t>
      </w:r>
      <w:hyperlink r:id="rId18">
        <w:r>
          <w:rPr>
            <w:color w:val="0000FF"/>
            <w:u w:val="single" w:color="0000FF"/>
          </w:rPr>
          <w:t>cory.king@ohic.ri.gov</w:t>
        </w:r>
      </w:hyperlink>
    </w:p>
    <w:p w:rsidR="007C72C4" w:rsidRDefault="007C72C4">
      <w:pPr>
        <w:pStyle w:val="BodyText"/>
        <w:spacing w:before="6"/>
        <w:ind w:left="0" w:firstLine="0"/>
        <w:rPr>
          <w:sz w:val="17"/>
        </w:rPr>
      </w:pPr>
    </w:p>
    <w:p w:rsidR="007C72C4" w:rsidRDefault="00C306A6">
      <w:pPr>
        <w:pStyle w:val="Heading1"/>
        <w:numPr>
          <w:ilvl w:val="3"/>
          <w:numId w:val="4"/>
        </w:numPr>
        <w:tabs>
          <w:tab w:val="left" w:pos="821"/>
        </w:tabs>
        <w:spacing w:before="97" w:line="276" w:lineRule="auto"/>
        <w:ind w:right="116" w:hanging="360"/>
        <w:jc w:val="left"/>
      </w:pPr>
      <w:r>
        <w:t>Once a practice is r</w:t>
      </w:r>
      <w:r>
        <w:t>ecognized as a PCMH, will it always be recognized as a PCMH by OHIC?</w:t>
      </w:r>
    </w:p>
    <w:p w:rsidR="007C72C4" w:rsidRDefault="00C306A6">
      <w:pPr>
        <w:pStyle w:val="ListParagraph"/>
        <w:numPr>
          <w:ilvl w:val="4"/>
          <w:numId w:val="4"/>
        </w:numPr>
        <w:tabs>
          <w:tab w:val="left" w:pos="1541"/>
        </w:tabs>
        <w:spacing w:before="3"/>
      </w:pPr>
      <w:r>
        <w:t>No. A practice must meet each element of the definition of PCMH</w:t>
      </w:r>
      <w:r>
        <w:rPr>
          <w:spacing w:val="-13"/>
        </w:rPr>
        <w:t xml:space="preserve"> </w:t>
      </w:r>
      <w:r>
        <w:t>annually.</w:t>
      </w:r>
    </w:p>
    <w:p w:rsidR="007C72C4" w:rsidRDefault="007C72C4">
      <w:pPr>
        <w:sectPr w:rsidR="007C72C4">
          <w:pgSz w:w="12240" w:h="15840"/>
          <w:pgMar w:top="1700" w:right="1320" w:bottom="2420" w:left="1340" w:header="742" w:footer="2199" w:gutter="0"/>
          <w:cols w:space="720"/>
        </w:sectPr>
      </w:pPr>
    </w:p>
    <w:p w:rsidR="007C72C4" w:rsidRDefault="00C306A6">
      <w:pPr>
        <w:pStyle w:val="Heading1"/>
        <w:numPr>
          <w:ilvl w:val="3"/>
          <w:numId w:val="4"/>
        </w:numPr>
        <w:tabs>
          <w:tab w:val="left" w:pos="821"/>
        </w:tabs>
        <w:spacing w:before="35" w:line="276" w:lineRule="auto"/>
        <w:ind w:right="119" w:hanging="360"/>
        <w:jc w:val="left"/>
      </w:pPr>
      <w:r>
        <w:lastRenderedPageBreak/>
        <w:t>Will OHIC be evaluating whether this PCMH initiative reduces health care costs and is beneficial to</w:t>
      </w:r>
      <w:r>
        <w:t xml:space="preserve"> practices, health plans and residents of Rhode</w:t>
      </w:r>
      <w:r>
        <w:rPr>
          <w:spacing w:val="-13"/>
        </w:rPr>
        <w:t xml:space="preserve"> </w:t>
      </w:r>
      <w:r>
        <w:t>Island?</w:t>
      </w:r>
    </w:p>
    <w:p w:rsidR="007C72C4" w:rsidRDefault="00C306A6">
      <w:pPr>
        <w:pStyle w:val="ListParagraph"/>
        <w:numPr>
          <w:ilvl w:val="4"/>
          <w:numId w:val="4"/>
        </w:numPr>
        <w:tabs>
          <w:tab w:val="left" w:pos="1541"/>
        </w:tabs>
        <w:spacing w:line="276" w:lineRule="auto"/>
        <w:ind w:right="113"/>
        <w:jc w:val="both"/>
      </w:pPr>
      <w:r>
        <w:t>Yes, OHIC, along with other stakeholders, will be conducting an ongoing evaluation of this PCMH initiative. The standards and definition of a PCMH will be examined and revisited each year in a committ</w:t>
      </w:r>
      <w:r>
        <w:t>ee</w:t>
      </w:r>
      <w:r>
        <w:rPr>
          <w:spacing w:val="-5"/>
        </w:rPr>
        <w:t xml:space="preserve"> </w:t>
      </w:r>
      <w:r>
        <w:t>process.</w:t>
      </w:r>
    </w:p>
    <w:p w:rsidR="007C72C4" w:rsidRDefault="007C72C4">
      <w:pPr>
        <w:pStyle w:val="BodyText"/>
        <w:spacing w:before="3"/>
        <w:ind w:left="0" w:firstLine="0"/>
        <w:rPr>
          <w:sz w:val="25"/>
        </w:rPr>
      </w:pPr>
    </w:p>
    <w:p w:rsidR="007C72C4" w:rsidRDefault="00C306A6">
      <w:pPr>
        <w:pStyle w:val="Heading1"/>
        <w:numPr>
          <w:ilvl w:val="3"/>
          <w:numId w:val="4"/>
        </w:numPr>
        <w:tabs>
          <w:tab w:val="left" w:pos="821"/>
        </w:tabs>
        <w:spacing w:before="1"/>
        <w:ind w:hanging="360"/>
        <w:jc w:val="left"/>
      </w:pPr>
      <w:r>
        <w:t>Why should practices try to meet the OHIC definition of</w:t>
      </w:r>
      <w:r>
        <w:rPr>
          <w:spacing w:val="-8"/>
        </w:rPr>
        <w:t xml:space="preserve"> </w:t>
      </w:r>
      <w:r>
        <w:t>PCMH?</w:t>
      </w:r>
    </w:p>
    <w:p w:rsidR="007C72C4" w:rsidRDefault="00C306A6">
      <w:pPr>
        <w:pStyle w:val="ListParagraph"/>
        <w:numPr>
          <w:ilvl w:val="4"/>
          <w:numId w:val="4"/>
        </w:numPr>
        <w:tabs>
          <w:tab w:val="left" w:pos="1541"/>
        </w:tabs>
        <w:spacing w:before="40" w:line="276" w:lineRule="auto"/>
        <w:ind w:right="114"/>
        <w:jc w:val="both"/>
      </w:pPr>
      <w:r>
        <w:t>Commercial insurers, Medicaid, and Medicare are all moving away from fee-for- service payments to more value-based payments that reward improved quality and reduced</w:t>
      </w:r>
      <w:r>
        <w:rPr>
          <w:spacing w:val="-1"/>
        </w:rPr>
        <w:t xml:space="preserve"> </w:t>
      </w:r>
      <w:r>
        <w:t>costs.</w:t>
      </w:r>
    </w:p>
    <w:p w:rsidR="007C72C4" w:rsidRDefault="00C306A6">
      <w:pPr>
        <w:pStyle w:val="ListParagraph"/>
        <w:numPr>
          <w:ilvl w:val="4"/>
          <w:numId w:val="4"/>
        </w:numPr>
        <w:tabs>
          <w:tab w:val="left" w:pos="1541"/>
        </w:tabs>
        <w:spacing w:line="276" w:lineRule="auto"/>
        <w:ind w:right="116"/>
        <w:jc w:val="both"/>
      </w:pPr>
      <w:r>
        <w:t>Primary care practices continue to serve a vital function in Rhode Island. These new payment models aim to help and support providers in delivering more coordinated care to their patients, while rewarding quality of care and</w:t>
      </w:r>
      <w:r>
        <w:rPr>
          <w:spacing w:val="-21"/>
        </w:rPr>
        <w:t xml:space="preserve"> </w:t>
      </w:r>
      <w:r>
        <w:t>efficiency.</w:t>
      </w:r>
    </w:p>
    <w:p w:rsidR="007C72C4" w:rsidRDefault="00C306A6">
      <w:pPr>
        <w:pStyle w:val="ListParagraph"/>
        <w:numPr>
          <w:ilvl w:val="4"/>
          <w:numId w:val="4"/>
        </w:numPr>
        <w:tabs>
          <w:tab w:val="left" w:pos="1541"/>
        </w:tabs>
        <w:spacing w:line="276" w:lineRule="auto"/>
        <w:ind w:right="118"/>
        <w:jc w:val="both"/>
      </w:pPr>
      <w:r>
        <w:t>The support program</w:t>
      </w:r>
      <w:r>
        <w:t>s currently available to practices offer practices an opportunity to get expert assistance to learn how to transform. The Support Payment rewards practices for their</w:t>
      </w:r>
      <w:r>
        <w:rPr>
          <w:spacing w:val="-3"/>
        </w:rPr>
        <w:t xml:space="preserve"> </w:t>
      </w:r>
      <w:r>
        <w:t>efforts.</w:t>
      </w:r>
    </w:p>
    <w:sectPr w:rsidR="007C72C4">
      <w:pgSz w:w="12240" w:h="15840"/>
      <w:pgMar w:top="1700" w:right="1320" w:bottom="2420" w:left="1340" w:header="742" w:footer="2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6A6" w:rsidRDefault="00C306A6">
      <w:r>
        <w:separator/>
      </w:r>
    </w:p>
  </w:endnote>
  <w:endnote w:type="continuationSeparator" w:id="0">
    <w:p w:rsidR="00C306A6" w:rsidRDefault="00C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C4" w:rsidRDefault="00587741">
    <w:pPr>
      <w:pStyle w:val="BodyText"/>
      <w:spacing w:line="14" w:lineRule="auto"/>
      <w:ind w:left="0" w:firstLine="0"/>
      <w:rPr>
        <w:sz w:val="20"/>
      </w:rPr>
    </w:pPr>
    <w:r>
      <w:rPr>
        <w:noProof/>
      </w:rPr>
      <mc:AlternateContent>
        <mc:Choice Requires="wps">
          <w:drawing>
            <wp:anchor distT="0" distB="0" distL="114300" distR="114300" simplePos="0" relativeHeight="503310464" behindDoc="1" locked="0" layoutInCell="1" allowOverlap="1">
              <wp:simplePos x="0" y="0"/>
              <wp:positionH relativeFrom="page">
                <wp:posOffset>6764020</wp:posOffset>
              </wp:positionH>
              <wp:positionV relativeFrom="page">
                <wp:posOffset>8498840</wp:posOffset>
              </wp:positionV>
              <wp:extent cx="121920" cy="165735"/>
              <wp:effectExtent l="1270" t="254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C4" w:rsidRDefault="00C306A6">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58774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6pt;margin-top:669.2pt;width:9.6pt;height:13.0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" filled="f" stroked="f">
              <v:textbox inset="0,0,0,0">
                <w:txbxContent>
                  <w:p w:rsidR="007C72C4" w:rsidRDefault="00C306A6">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587741">
                      <w:rPr>
                        <w:rFonts w:ascii="Calibri"/>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488" behindDoc="1" locked="0" layoutInCell="1" allowOverlap="1">
              <wp:simplePos x="0" y="0"/>
              <wp:positionH relativeFrom="page">
                <wp:posOffset>1223645</wp:posOffset>
              </wp:positionH>
              <wp:positionV relativeFrom="page">
                <wp:posOffset>8642985</wp:posOffset>
              </wp:positionV>
              <wp:extent cx="5327650" cy="972185"/>
              <wp:effectExtent l="4445" t="381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C4" w:rsidRDefault="00C306A6">
                          <w:pPr>
                            <w:spacing w:before="22" w:line="237" w:lineRule="auto"/>
                            <w:ind w:left="261" w:right="260"/>
                            <w:jc w:val="center"/>
                            <w:rPr>
                              <w:rFonts w:ascii="Lucida Sans" w:hAnsi="Lucida Sans"/>
                              <w:sz w:val="18"/>
                            </w:rPr>
                          </w:pPr>
                          <w:r>
                            <w:rPr>
                              <w:rFonts w:ascii="Lucida Sans" w:hAnsi="Lucida Sans"/>
                              <w:color w:val="003366"/>
                              <w:sz w:val="18"/>
                            </w:rPr>
                            <w:t xml:space="preserve">Protecting Consumers </w:t>
                          </w:r>
                          <w:r>
                            <w:rPr>
                              <w:rFonts w:ascii="Symbol" w:hAnsi="Symbol"/>
                              <w:color w:val="003366"/>
                              <w:sz w:val="18"/>
                            </w:rPr>
                            <w:t></w:t>
                          </w:r>
                          <w:r>
                            <w:rPr>
                              <w:rFonts w:ascii="Times New Roman" w:hAnsi="Times New Roman"/>
                              <w:color w:val="003366"/>
                              <w:sz w:val="18"/>
                            </w:rPr>
                            <w:t xml:space="preserve"> </w:t>
                          </w:r>
                          <w:r>
                            <w:rPr>
                              <w:rFonts w:ascii="Lucida Sans" w:hAnsi="Lucida Sans"/>
                              <w:color w:val="003366"/>
                              <w:sz w:val="18"/>
                            </w:rPr>
                            <w:t xml:space="preserve">Ensuring Solvency  </w:t>
                          </w:r>
                          <w:r>
                            <w:rPr>
                              <w:rFonts w:ascii="Symbol" w:hAnsi="Symbol"/>
                              <w:color w:val="003366"/>
                              <w:sz w:val="18"/>
                            </w:rPr>
                            <w:t></w:t>
                          </w:r>
                          <w:r>
                            <w:rPr>
                              <w:rFonts w:ascii="Times New Roman" w:hAnsi="Times New Roman"/>
                              <w:color w:val="003366"/>
                              <w:sz w:val="18"/>
                            </w:rPr>
                            <w:t xml:space="preserve">  </w:t>
                          </w:r>
                          <w:r>
                            <w:rPr>
                              <w:rFonts w:ascii="Lucida Sans" w:hAnsi="Lucida Sans"/>
                              <w:color w:val="003366"/>
                              <w:sz w:val="18"/>
                            </w:rPr>
                            <w:t xml:space="preserve">Engaging Providers  </w:t>
                          </w:r>
                          <w:r>
                            <w:rPr>
                              <w:rFonts w:ascii="Symbol" w:hAnsi="Symbol"/>
                              <w:color w:val="003366"/>
                              <w:sz w:val="18"/>
                            </w:rPr>
                            <w:t></w:t>
                          </w:r>
                          <w:r>
                            <w:rPr>
                              <w:rFonts w:ascii="Times New Roman" w:hAnsi="Times New Roman"/>
                              <w:color w:val="003366"/>
                              <w:sz w:val="18"/>
                            </w:rPr>
                            <w:t xml:space="preserve">  </w:t>
                          </w:r>
                          <w:r>
                            <w:rPr>
                              <w:rFonts w:ascii="Lucida Sans" w:hAnsi="Lucida Sans"/>
                              <w:color w:val="003366"/>
                              <w:sz w:val="18"/>
                            </w:rPr>
                            <w:t>Improving the System  State of Rhode Island Office of the Health Insurance Commissioner</w:t>
                          </w:r>
                        </w:p>
                        <w:p w:rsidR="007C72C4" w:rsidRDefault="00C306A6">
                          <w:pPr>
                            <w:spacing w:line="211" w:lineRule="exact"/>
                            <w:ind w:left="258" w:right="260"/>
                            <w:jc w:val="center"/>
                            <w:rPr>
                              <w:rFonts w:ascii="Lucida Sans"/>
                              <w:sz w:val="18"/>
                            </w:rPr>
                          </w:pPr>
                          <w:r>
                            <w:rPr>
                              <w:rFonts w:ascii="Lucida Sans"/>
                              <w:color w:val="003366"/>
                              <w:sz w:val="18"/>
                            </w:rPr>
                            <w:t>1511 Pontiac Avenue, Building 69-1</w:t>
                          </w:r>
                        </w:p>
                        <w:p w:rsidR="007C72C4" w:rsidRDefault="00C306A6">
                          <w:pPr>
                            <w:spacing w:before="1" w:line="212" w:lineRule="exact"/>
                            <w:ind w:left="258" w:right="260"/>
                            <w:jc w:val="center"/>
                            <w:rPr>
                              <w:rFonts w:ascii="Lucida Sans"/>
                              <w:sz w:val="18"/>
                            </w:rPr>
                          </w:pPr>
                          <w:r>
                            <w:rPr>
                              <w:rFonts w:ascii="Lucida Sans"/>
                              <w:color w:val="003366"/>
                              <w:sz w:val="18"/>
                            </w:rPr>
                            <w:t>Cranston, RI</w:t>
                          </w:r>
                          <w:r>
                            <w:rPr>
                              <w:rFonts w:ascii="Lucida Sans"/>
                              <w:color w:val="003366"/>
                              <w:spacing w:val="50"/>
                              <w:sz w:val="18"/>
                            </w:rPr>
                            <w:t xml:space="preserve"> </w:t>
                          </w:r>
                          <w:r>
                            <w:rPr>
                              <w:rFonts w:ascii="Lucida Sans"/>
                              <w:color w:val="003366"/>
                              <w:sz w:val="18"/>
                            </w:rPr>
                            <w:t>02920-4407</w:t>
                          </w:r>
                        </w:p>
                        <w:p w:rsidR="007C72C4" w:rsidRDefault="00C306A6">
                          <w:pPr>
                            <w:spacing w:line="211" w:lineRule="exact"/>
                            <w:ind w:left="258" w:right="260"/>
                            <w:jc w:val="center"/>
                            <w:rPr>
                              <w:rFonts w:ascii="Lucida Sans"/>
                              <w:sz w:val="18"/>
                            </w:rPr>
                          </w:pPr>
                          <w:r>
                            <w:rPr>
                              <w:rFonts w:ascii="Lucida Sans"/>
                              <w:color w:val="003366"/>
                              <w:sz w:val="18"/>
                            </w:rPr>
                            <w:t>(401) 462-9517</w:t>
                          </w:r>
                        </w:p>
                        <w:p w:rsidR="007C72C4" w:rsidRDefault="00C306A6">
                          <w:pPr>
                            <w:spacing w:line="212" w:lineRule="exact"/>
                            <w:ind w:left="260" w:right="260"/>
                            <w:jc w:val="center"/>
                            <w:rPr>
                              <w:rFonts w:ascii="Lucida Sans"/>
                              <w:sz w:val="18"/>
                            </w:rPr>
                          </w:pPr>
                          <w:r>
                            <w:rPr>
                              <w:rFonts w:ascii="Lucida Sans"/>
                              <w:color w:val="003366"/>
                              <w:sz w:val="18"/>
                            </w:rPr>
                            <w:t>(401) 462-9645 (Fax)</w:t>
                          </w:r>
                        </w:p>
                        <w:p w:rsidR="007C72C4" w:rsidRDefault="00C306A6">
                          <w:pPr>
                            <w:spacing w:before="2"/>
                            <w:ind w:left="258" w:right="260"/>
                            <w:jc w:val="center"/>
                            <w:rPr>
                              <w:rFonts w:ascii="Lucida Sans"/>
                              <w:sz w:val="18"/>
                            </w:rPr>
                          </w:pPr>
                          <w:hyperlink r:id="rId1">
                            <w:r>
                              <w:rPr>
                                <w:rFonts w:ascii="Lucida Sans"/>
                                <w:color w:val="003366"/>
                                <w:sz w:val="18"/>
                              </w:rPr>
                              <w:t>www.ohic.ri.gov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6.35pt;margin-top:680.55pt;width:419.5pt;height:76.5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IJ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" filled="f" stroked="f">
              <v:textbox inset="0,0,0,0">
                <w:txbxContent>
                  <w:p w:rsidR="007C72C4" w:rsidRDefault="00C306A6">
                    <w:pPr>
                      <w:spacing w:before="22" w:line="237" w:lineRule="auto"/>
                      <w:ind w:left="261" w:right="260"/>
                      <w:jc w:val="center"/>
                      <w:rPr>
                        <w:rFonts w:ascii="Lucida Sans" w:hAnsi="Lucida Sans"/>
                        <w:sz w:val="18"/>
                      </w:rPr>
                    </w:pPr>
                    <w:r>
                      <w:rPr>
                        <w:rFonts w:ascii="Lucida Sans" w:hAnsi="Lucida Sans"/>
                        <w:color w:val="003366"/>
                        <w:sz w:val="18"/>
                      </w:rPr>
                      <w:t xml:space="preserve">Protecting Consumers </w:t>
                    </w:r>
                    <w:r>
                      <w:rPr>
                        <w:rFonts w:ascii="Symbol" w:hAnsi="Symbol"/>
                        <w:color w:val="003366"/>
                        <w:sz w:val="18"/>
                      </w:rPr>
                      <w:t></w:t>
                    </w:r>
                    <w:r>
                      <w:rPr>
                        <w:rFonts w:ascii="Times New Roman" w:hAnsi="Times New Roman"/>
                        <w:color w:val="003366"/>
                        <w:sz w:val="18"/>
                      </w:rPr>
                      <w:t xml:space="preserve"> </w:t>
                    </w:r>
                    <w:r>
                      <w:rPr>
                        <w:rFonts w:ascii="Lucida Sans" w:hAnsi="Lucida Sans"/>
                        <w:color w:val="003366"/>
                        <w:sz w:val="18"/>
                      </w:rPr>
                      <w:t xml:space="preserve">Ensuring Solvency  </w:t>
                    </w:r>
                    <w:r>
                      <w:rPr>
                        <w:rFonts w:ascii="Symbol" w:hAnsi="Symbol"/>
                        <w:color w:val="003366"/>
                        <w:sz w:val="18"/>
                      </w:rPr>
                      <w:t></w:t>
                    </w:r>
                    <w:r>
                      <w:rPr>
                        <w:rFonts w:ascii="Times New Roman" w:hAnsi="Times New Roman"/>
                        <w:color w:val="003366"/>
                        <w:sz w:val="18"/>
                      </w:rPr>
                      <w:t xml:space="preserve">  </w:t>
                    </w:r>
                    <w:r>
                      <w:rPr>
                        <w:rFonts w:ascii="Lucida Sans" w:hAnsi="Lucida Sans"/>
                        <w:color w:val="003366"/>
                        <w:sz w:val="18"/>
                      </w:rPr>
                      <w:t xml:space="preserve">Engaging Providers  </w:t>
                    </w:r>
                    <w:r>
                      <w:rPr>
                        <w:rFonts w:ascii="Symbol" w:hAnsi="Symbol"/>
                        <w:color w:val="003366"/>
                        <w:sz w:val="18"/>
                      </w:rPr>
                      <w:t></w:t>
                    </w:r>
                    <w:r>
                      <w:rPr>
                        <w:rFonts w:ascii="Times New Roman" w:hAnsi="Times New Roman"/>
                        <w:color w:val="003366"/>
                        <w:sz w:val="18"/>
                      </w:rPr>
                      <w:t xml:space="preserve">  </w:t>
                    </w:r>
                    <w:r>
                      <w:rPr>
                        <w:rFonts w:ascii="Lucida Sans" w:hAnsi="Lucida Sans"/>
                        <w:color w:val="003366"/>
                        <w:sz w:val="18"/>
                      </w:rPr>
                      <w:t>Improving the System  State of Rhode Island Office of the Health Insurance Commissioner</w:t>
                    </w:r>
                  </w:p>
                  <w:p w:rsidR="007C72C4" w:rsidRDefault="00C306A6">
                    <w:pPr>
                      <w:spacing w:line="211" w:lineRule="exact"/>
                      <w:ind w:left="258" w:right="260"/>
                      <w:jc w:val="center"/>
                      <w:rPr>
                        <w:rFonts w:ascii="Lucida Sans"/>
                        <w:sz w:val="18"/>
                      </w:rPr>
                    </w:pPr>
                    <w:r>
                      <w:rPr>
                        <w:rFonts w:ascii="Lucida Sans"/>
                        <w:color w:val="003366"/>
                        <w:sz w:val="18"/>
                      </w:rPr>
                      <w:t>1511 Pontiac Avenue, Building 69-1</w:t>
                    </w:r>
                  </w:p>
                  <w:p w:rsidR="007C72C4" w:rsidRDefault="00C306A6">
                    <w:pPr>
                      <w:spacing w:before="1" w:line="212" w:lineRule="exact"/>
                      <w:ind w:left="258" w:right="260"/>
                      <w:jc w:val="center"/>
                      <w:rPr>
                        <w:rFonts w:ascii="Lucida Sans"/>
                        <w:sz w:val="18"/>
                      </w:rPr>
                    </w:pPr>
                    <w:r>
                      <w:rPr>
                        <w:rFonts w:ascii="Lucida Sans"/>
                        <w:color w:val="003366"/>
                        <w:sz w:val="18"/>
                      </w:rPr>
                      <w:t>Cranston, RI</w:t>
                    </w:r>
                    <w:r>
                      <w:rPr>
                        <w:rFonts w:ascii="Lucida Sans"/>
                        <w:color w:val="003366"/>
                        <w:spacing w:val="50"/>
                        <w:sz w:val="18"/>
                      </w:rPr>
                      <w:t xml:space="preserve"> </w:t>
                    </w:r>
                    <w:r>
                      <w:rPr>
                        <w:rFonts w:ascii="Lucida Sans"/>
                        <w:color w:val="003366"/>
                        <w:sz w:val="18"/>
                      </w:rPr>
                      <w:t>02920-4407</w:t>
                    </w:r>
                  </w:p>
                  <w:p w:rsidR="007C72C4" w:rsidRDefault="00C306A6">
                    <w:pPr>
                      <w:spacing w:line="211" w:lineRule="exact"/>
                      <w:ind w:left="258" w:right="260"/>
                      <w:jc w:val="center"/>
                      <w:rPr>
                        <w:rFonts w:ascii="Lucida Sans"/>
                        <w:sz w:val="18"/>
                      </w:rPr>
                    </w:pPr>
                    <w:r>
                      <w:rPr>
                        <w:rFonts w:ascii="Lucida Sans"/>
                        <w:color w:val="003366"/>
                        <w:sz w:val="18"/>
                      </w:rPr>
                      <w:t>(401) 462-9517</w:t>
                    </w:r>
                  </w:p>
                  <w:p w:rsidR="007C72C4" w:rsidRDefault="00C306A6">
                    <w:pPr>
                      <w:spacing w:line="212" w:lineRule="exact"/>
                      <w:ind w:left="260" w:right="260"/>
                      <w:jc w:val="center"/>
                      <w:rPr>
                        <w:rFonts w:ascii="Lucida Sans"/>
                        <w:sz w:val="18"/>
                      </w:rPr>
                    </w:pPr>
                    <w:r>
                      <w:rPr>
                        <w:rFonts w:ascii="Lucida Sans"/>
                        <w:color w:val="003366"/>
                        <w:sz w:val="18"/>
                      </w:rPr>
                      <w:t>(401) 462-9645 (Fax)</w:t>
                    </w:r>
                  </w:p>
                  <w:p w:rsidR="007C72C4" w:rsidRDefault="00C306A6">
                    <w:pPr>
                      <w:spacing w:before="2"/>
                      <w:ind w:left="258" w:right="260"/>
                      <w:jc w:val="center"/>
                      <w:rPr>
                        <w:rFonts w:ascii="Lucida Sans"/>
                        <w:sz w:val="18"/>
                      </w:rPr>
                    </w:pPr>
                    <w:hyperlink r:id="rId2">
                      <w:r>
                        <w:rPr>
                          <w:rFonts w:ascii="Lucida Sans"/>
                          <w:color w:val="003366"/>
                          <w:sz w:val="18"/>
                        </w:rPr>
                        <w:t>www.ohic.ri.gov</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6A6" w:rsidRDefault="00C306A6">
      <w:r>
        <w:separator/>
      </w:r>
    </w:p>
  </w:footnote>
  <w:footnote w:type="continuationSeparator" w:id="0">
    <w:p w:rsidR="00C306A6" w:rsidRDefault="00C3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C4" w:rsidRDefault="00C306A6">
    <w:pPr>
      <w:pStyle w:val="BodyText"/>
      <w:spacing w:line="14" w:lineRule="auto"/>
      <w:ind w:left="0" w:firstLine="0"/>
      <w:rPr>
        <w:sz w:val="20"/>
      </w:rPr>
    </w:pPr>
    <w:r>
      <w:rPr>
        <w:noProof/>
      </w:rPr>
      <w:drawing>
        <wp:anchor distT="0" distB="0" distL="0" distR="0" simplePos="0" relativeHeight="268429415" behindDoc="1" locked="0" layoutInCell="1" allowOverlap="1">
          <wp:simplePos x="0" y="0"/>
          <wp:positionH relativeFrom="page">
            <wp:posOffset>937319</wp:posOffset>
          </wp:positionH>
          <wp:positionV relativeFrom="page">
            <wp:posOffset>470987</wp:posOffset>
          </wp:positionV>
          <wp:extent cx="1182644" cy="6112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82644" cy="611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60FD6"/>
    <w:multiLevelType w:val="hybridMultilevel"/>
    <w:tmpl w:val="8FF090B4"/>
    <w:lvl w:ilvl="0" w:tplc="CA12948E">
      <w:start w:val="1"/>
      <w:numFmt w:val="lowerRoman"/>
      <w:lvlText w:val="%1."/>
      <w:lvlJc w:val="left"/>
      <w:pPr>
        <w:ind w:left="2260" w:hanging="300"/>
        <w:jc w:val="right"/>
      </w:pPr>
      <w:rPr>
        <w:rFonts w:ascii="Book Antiqua" w:eastAsia="Book Antiqua" w:hAnsi="Book Antiqua" w:cs="Book Antiqua" w:hint="default"/>
        <w:w w:val="100"/>
        <w:sz w:val="22"/>
        <w:szCs w:val="22"/>
        <w:lang w:val="en-US" w:eastAsia="en-US" w:bidi="en-US"/>
      </w:rPr>
    </w:lvl>
    <w:lvl w:ilvl="1" w:tplc="95FA29FA">
      <w:numFmt w:val="bullet"/>
      <w:lvlText w:val="•"/>
      <w:lvlJc w:val="left"/>
      <w:pPr>
        <w:ind w:left="2992" w:hanging="300"/>
      </w:pPr>
      <w:rPr>
        <w:rFonts w:hint="default"/>
        <w:lang w:val="en-US" w:eastAsia="en-US" w:bidi="en-US"/>
      </w:rPr>
    </w:lvl>
    <w:lvl w:ilvl="2" w:tplc="E0D272E6">
      <w:numFmt w:val="bullet"/>
      <w:lvlText w:val="•"/>
      <w:lvlJc w:val="left"/>
      <w:pPr>
        <w:ind w:left="3724" w:hanging="300"/>
      </w:pPr>
      <w:rPr>
        <w:rFonts w:hint="default"/>
        <w:lang w:val="en-US" w:eastAsia="en-US" w:bidi="en-US"/>
      </w:rPr>
    </w:lvl>
    <w:lvl w:ilvl="3" w:tplc="3FF27BE0">
      <w:numFmt w:val="bullet"/>
      <w:lvlText w:val="•"/>
      <w:lvlJc w:val="left"/>
      <w:pPr>
        <w:ind w:left="4456" w:hanging="300"/>
      </w:pPr>
      <w:rPr>
        <w:rFonts w:hint="default"/>
        <w:lang w:val="en-US" w:eastAsia="en-US" w:bidi="en-US"/>
      </w:rPr>
    </w:lvl>
    <w:lvl w:ilvl="4" w:tplc="E6889B4E">
      <w:numFmt w:val="bullet"/>
      <w:lvlText w:val="•"/>
      <w:lvlJc w:val="left"/>
      <w:pPr>
        <w:ind w:left="5188" w:hanging="300"/>
      </w:pPr>
      <w:rPr>
        <w:rFonts w:hint="default"/>
        <w:lang w:val="en-US" w:eastAsia="en-US" w:bidi="en-US"/>
      </w:rPr>
    </w:lvl>
    <w:lvl w:ilvl="5" w:tplc="9642D1CC">
      <w:numFmt w:val="bullet"/>
      <w:lvlText w:val="•"/>
      <w:lvlJc w:val="left"/>
      <w:pPr>
        <w:ind w:left="5920" w:hanging="300"/>
      </w:pPr>
      <w:rPr>
        <w:rFonts w:hint="default"/>
        <w:lang w:val="en-US" w:eastAsia="en-US" w:bidi="en-US"/>
      </w:rPr>
    </w:lvl>
    <w:lvl w:ilvl="6" w:tplc="061A8436">
      <w:numFmt w:val="bullet"/>
      <w:lvlText w:val="•"/>
      <w:lvlJc w:val="left"/>
      <w:pPr>
        <w:ind w:left="6652" w:hanging="300"/>
      </w:pPr>
      <w:rPr>
        <w:rFonts w:hint="default"/>
        <w:lang w:val="en-US" w:eastAsia="en-US" w:bidi="en-US"/>
      </w:rPr>
    </w:lvl>
    <w:lvl w:ilvl="7" w:tplc="95288494">
      <w:numFmt w:val="bullet"/>
      <w:lvlText w:val="•"/>
      <w:lvlJc w:val="left"/>
      <w:pPr>
        <w:ind w:left="7384" w:hanging="300"/>
      </w:pPr>
      <w:rPr>
        <w:rFonts w:hint="default"/>
        <w:lang w:val="en-US" w:eastAsia="en-US" w:bidi="en-US"/>
      </w:rPr>
    </w:lvl>
    <w:lvl w:ilvl="8" w:tplc="CC36C8D2">
      <w:numFmt w:val="bullet"/>
      <w:lvlText w:val="•"/>
      <w:lvlJc w:val="left"/>
      <w:pPr>
        <w:ind w:left="8116" w:hanging="300"/>
      </w:pPr>
      <w:rPr>
        <w:rFonts w:hint="default"/>
        <w:lang w:val="en-US" w:eastAsia="en-US" w:bidi="en-US"/>
      </w:rPr>
    </w:lvl>
  </w:abstractNum>
  <w:abstractNum w:abstractNumId="1" w15:restartNumberingAfterBreak="0">
    <w:nsid w:val="59776D67"/>
    <w:multiLevelType w:val="hybridMultilevel"/>
    <w:tmpl w:val="C484AC06"/>
    <w:lvl w:ilvl="0" w:tplc="FF888B28">
      <w:numFmt w:val="bullet"/>
      <w:lvlText w:val="•"/>
      <w:lvlJc w:val="left"/>
      <w:pPr>
        <w:ind w:left="1720" w:hanging="408"/>
      </w:pPr>
      <w:rPr>
        <w:rFonts w:ascii="Book Antiqua" w:eastAsia="Book Antiqua" w:hAnsi="Book Antiqua" w:cs="Book Antiqua" w:hint="default"/>
        <w:w w:val="100"/>
        <w:sz w:val="22"/>
        <w:szCs w:val="22"/>
        <w:lang w:val="en-US" w:eastAsia="en-US" w:bidi="en-US"/>
      </w:rPr>
    </w:lvl>
    <w:lvl w:ilvl="1" w:tplc="E6FC0E88">
      <w:numFmt w:val="bullet"/>
      <w:lvlText w:val="•"/>
      <w:lvlJc w:val="left"/>
      <w:pPr>
        <w:ind w:left="2506" w:hanging="408"/>
      </w:pPr>
      <w:rPr>
        <w:rFonts w:hint="default"/>
        <w:lang w:val="en-US" w:eastAsia="en-US" w:bidi="en-US"/>
      </w:rPr>
    </w:lvl>
    <w:lvl w:ilvl="2" w:tplc="EF94B8B2">
      <w:numFmt w:val="bullet"/>
      <w:lvlText w:val="•"/>
      <w:lvlJc w:val="left"/>
      <w:pPr>
        <w:ind w:left="3292" w:hanging="408"/>
      </w:pPr>
      <w:rPr>
        <w:rFonts w:hint="default"/>
        <w:lang w:val="en-US" w:eastAsia="en-US" w:bidi="en-US"/>
      </w:rPr>
    </w:lvl>
    <w:lvl w:ilvl="3" w:tplc="03A2E15C">
      <w:numFmt w:val="bullet"/>
      <w:lvlText w:val="•"/>
      <w:lvlJc w:val="left"/>
      <w:pPr>
        <w:ind w:left="4078" w:hanging="408"/>
      </w:pPr>
      <w:rPr>
        <w:rFonts w:hint="default"/>
        <w:lang w:val="en-US" w:eastAsia="en-US" w:bidi="en-US"/>
      </w:rPr>
    </w:lvl>
    <w:lvl w:ilvl="4" w:tplc="0A40AED8">
      <w:numFmt w:val="bullet"/>
      <w:lvlText w:val="•"/>
      <w:lvlJc w:val="left"/>
      <w:pPr>
        <w:ind w:left="4864" w:hanging="408"/>
      </w:pPr>
      <w:rPr>
        <w:rFonts w:hint="default"/>
        <w:lang w:val="en-US" w:eastAsia="en-US" w:bidi="en-US"/>
      </w:rPr>
    </w:lvl>
    <w:lvl w:ilvl="5" w:tplc="4514A1E2">
      <w:numFmt w:val="bullet"/>
      <w:lvlText w:val="•"/>
      <w:lvlJc w:val="left"/>
      <w:pPr>
        <w:ind w:left="5650" w:hanging="408"/>
      </w:pPr>
      <w:rPr>
        <w:rFonts w:hint="default"/>
        <w:lang w:val="en-US" w:eastAsia="en-US" w:bidi="en-US"/>
      </w:rPr>
    </w:lvl>
    <w:lvl w:ilvl="6" w:tplc="F880DAF4">
      <w:numFmt w:val="bullet"/>
      <w:lvlText w:val="•"/>
      <w:lvlJc w:val="left"/>
      <w:pPr>
        <w:ind w:left="6436" w:hanging="408"/>
      </w:pPr>
      <w:rPr>
        <w:rFonts w:hint="default"/>
        <w:lang w:val="en-US" w:eastAsia="en-US" w:bidi="en-US"/>
      </w:rPr>
    </w:lvl>
    <w:lvl w:ilvl="7" w:tplc="590A38E0">
      <w:numFmt w:val="bullet"/>
      <w:lvlText w:val="•"/>
      <w:lvlJc w:val="left"/>
      <w:pPr>
        <w:ind w:left="7222" w:hanging="408"/>
      </w:pPr>
      <w:rPr>
        <w:rFonts w:hint="default"/>
        <w:lang w:val="en-US" w:eastAsia="en-US" w:bidi="en-US"/>
      </w:rPr>
    </w:lvl>
    <w:lvl w:ilvl="8" w:tplc="428698DC">
      <w:numFmt w:val="bullet"/>
      <w:lvlText w:val="•"/>
      <w:lvlJc w:val="left"/>
      <w:pPr>
        <w:ind w:left="8008" w:hanging="408"/>
      </w:pPr>
      <w:rPr>
        <w:rFonts w:hint="default"/>
        <w:lang w:val="en-US" w:eastAsia="en-US" w:bidi="en-US"/>
      </w:rPr>
    </w:lvl>
  </w:abstractNum>
  <w:abstractNum w:abstractNumId="2" w15:restartNumberingAfterBreak="0">
    <w:nsid w:val="5E105815"/>
    <w:multiLevelType w:val="hybridMultilevel"/>
    <w:tmpl w:val="ED0C918E"/>
    <w:lvl w:ilvl="0" w:tplc="6DB078BC">
      <w:start w:val="1"/>
      <w:numFmt w:val="decimal"/>
      <w:lvlText w:val="%1."/>
      <w:lvlJc w:val="left"/>
      <w:pPr>
        <w:ind w:left="820" w:hanging="360"/>
        <w:jc w:val="left"/>
      </w:pPr>
      <w:rPr>
        <w:rFonts w:ascii="Book Antiqua" w:eastAsia="Book Antiqua" w:hAnsi="Book Antiqua" w:cs="Book Antiqua" w:hint="default"/>
        <w:b/>
        <w:bCs/>
        <w:w w:val="100"/>
        <w:sz w:val="22"/>
        <w:szCs w:val="22"/>
        <w:lang w:val="en-US" w:eastAsia="en-US" w:bidi="en-US"/>
      </w:rPr>
    </w:lvl>
    <w:lvl w:ilvl="1" w:tplc="5F98D85A">
      <w:start w:val="1"/>
      <w:numFmt w:val="lowerLetter"/>
      <w:lvlText w:val="%2."/>
      <w:lvlJc w:val="left"/>
      <w:pPr>
        <w:ind w:left="1540" w:hanging="360"/>
        <w:jc w:val="left"/>
      </w:pPr>
      <w:rPr>
        <w:rFonts w:ascii="Book Antiqua" w:eastAsia="Book Antiqua" w:hAnsi="Book Antiqua" w:cs="Book Antiqua" w:hint="default"/>
        <w:w w:val="100"/>
        <w:sz w:val="22"/>
        <w:szCs w:val="22"/>
        <w:lang w:val="en-US" w:eastAsia="en-US" w:bidi="en-US"/>
      </w:rPr>
    </w:lvl>
    <w:lvl w:ilvl="2" w:tplc="7C82145C">
      <w:start w:val="1"/>
      <w:numFmt w:val="lowerRoman"/>
      <w:lvlText w:val="%3."/>
      <w:lvlJc w:val="left"/>
      <w:pPr>
        <w:ind w:left="2260" w:hanging="300"/>
        <w:jc w:val="right"/>
      </w:pPr>
      <w:rPr>
        <w:rFonts w:ascii="Book Antiqua" w:eastAsia="Book Antiqua" w:hAnsi="Book Antiqua" w:cs="Book Antiqua" w:hint="default"/>
        <w:w w:val="100"/>
        <w:sz w:val="22"/>
        <w:szCs w:val="22"/>
        <w:lang w:val="en-US" w:eastAsia="en-US" w:bidi="en-US"/>
      </w:rPr>
    </w:lvl>
    <w:lvl w:ilvl="3" w:tplc="679AEBC4">
      <w:start w:val="1"/>
      <w:numFmt w:val="decimal"/>
      <w:lvlText w:val="%4."/>
      <w:lvlJc w:val="left"/>
      <w:pPr>
        <w:ind w:left="820" w:hanging="361"/>
        <w:jc w:val="right"/>
      </w:pPr>
      <w:rPr>
        <w:rFonts w:hint="default"/>
        <w:w w:val="100"/>
        <w:lang w:val="en-US" w:eastAsia="en-US" w:bidi="en-US"/>
      </w:rPr>
    </w:lvl>
    <w:lvl w:ilvl="4" w:tplc="83083BEA">
      <w:start w:val="1"/>
      <w:numFmt w:val="lowerLetter"/>
      <w:lvlText w:val="%5."/>
      <w:lvlJc w:val="left"/>
      <w:pPr>
        <w:ind w:left="1540" w:hanging="360"/>
        <w:jc w:val="left"/>
      </w:pPr>
      <w:rPr>
        <w:rFonts w:ascii="Book Antiqua" w:eastAsia="Book Antiqua" w:hAnsi="Book Antiqua" w:cs="Book Antiqua" w:hint="default"/>
        <w:w w:val="100"/>
        <w:sz w:val="22"/>
        <w:szCs w:val="22"/>
        <w:lang w:val="en-US" w:eastAsia="en-US" w:bidi="en-US"/>
      </w:rPr>
    </w:lvl>
    <w:lvl w:ilvl="5" w:tplc="FD96EBE4">
      <w:numFmt w:val="bullet"/>
      <w:lvlText w:val=""/>
      <w:lvlJc w:val="left"/>
      <w:pPr>
        <w:ind w:left="1720" w:hanging="360"/>
      </w:pPr>
      <w:rPr>
        <w:rFonts w:ascii="Symbol" w:eastAsia="Symbol" w:hAnsi="Symbol" w:cs="Symbol" w:hint="default"/>
        <w:w w:val="100"/>
        <w:sz w:val="22"/>
        <w:szCs w:val="22"/>
        <w:lang w:val="en-US" w:eastAsia="en-US" w:bidi="en-US"/>
      </w:rPr>
    </w:lvl>
    <w:lvl w:ilvl="6" w:tplc="203CFF02">
      <w:numFmt w:val="bullet"/>
      <w:lvlText w:val="•"/>
      <w:lvlJc w:val="left"/>
      <w:pPr>
        <w:ind w:left="5180" w:hanging="360"/>
      </w:pPr>
      <w:rPr>
        <w:rFonts w:hint="default"/>
        <w:lang w:val="en-US" w:eastAsia="en-US" w:bidi="en-US"/>
      </w:rPr>
    </w:lvl>
    <w:lvl w:ilvl="7" w:tplc="9CAA8D86">
      <w:numFmt w:val="bullet"/>
      <w:lvlText w:val="•"/>
      <w:lvlJc w:val="left"/>
      <w:pPr>
        <w:ind w:left="6280" w:hanging="360"/>
      </w:pPr>
      <w:rPr>
        <w:rFonts w:hint="default"/>
        <w:lang w:val="en-US" w:eastAsia="en-US" w:bidi="en-US"/>
      </w:rPr>
    </w:lvl>
    <w:lvl w:ilvl="8" w:tplc="BDC270A4">
      <w:numFmt w:val="bullet"/>
      <w:lvlText w:val="•"/>
      <w:lvlJc w:val="left"/>
      <w:pPr>
        <w:ind w:left="7380" w:hanging="360"/>
      </w:pPr>
      <w:rPr>
        <w:rFonts w:hint="default"/>
        <w:lang w:val="en-US" w:eastAsia="en-US" w:bidi="en-US"/>
      </w:rPr>
    </w:lvl>
  </w:abstractNum>
  <w:abstractNum w:abstractNumId="3" w15:restartNumberingAfterBreak="0">
    <w:nsid w:val="6DC03595"/>
    <w:multiLevelType w:val="hybridMultilevel"/>
    <w:tmpl w:val="873A20B2"/>
    <w:lvl w:ilvl="0" w:tplc="BB7E8630">
      <w:start w:val="1"/>
      <w:numFmt w:val="lowerRoman"/>
      <w:lvlText w:val="%1."/>
      <w:lvlJc w:val="left"/>
      <w:pPr>
        <w:ind w:left="2260" w:hanging="300"/>
        <w:jc w:val="right"/>
      </w:pPr>
      <w:rPr>
        <w:rFonts w:ascii="Book Antiqua" w:eastAsia="Book Antiqua" w:hAnsi="Book Antiqua" w:cs="Book Antiqua" w:hint="default"/>
        <w:w w:val="100"/>
        <w:sz w:val="22"/>
        <w:szCs w:val="22"/>
        <w:lang w:val="en-US" w:eastAsia="en-US" w:bidi="en-US"/>
      </w:rPr>
    </w:lvl>
    <w:lvl w:ilvl="1" w:tplc="65D8AE06">
      <w:numFmt w:val="bullet"/>
      <w:lvlText w:val=""/>
      <w:lvlJc w:val="left"/>
      <w:pPr>
        <w:ind w:left="3341" w:hanging="360"/>
      </w:pPr>
      <w:rPr>
        <w:rFonts w:ascii="Symbol" w:eastAsia="Symbol" w:hAnsi="Symbol" w:cs="Symbol" w:hint="default"/>
        <w:w w:val="100"/>
        <w:sz w:val="22"/>
        <w:szCs w:val="22"/>
        <w:lang w:val="en-US" w:eastAsia="en-US" w:bidi="en-US"/>
      </w:rPr>
    </w:lvl>
    <w:lvl w:ilvl="2" w:tplc="B2BA0D38">
      <w:numFmt w:val="bullet"/>
      <w:lvlText w:val="•"/>
      <w:lvlJc w:val="left"/>
      <w:pPr>
        <w:ind w:left="4033" w:hanging="360"/>
      </w:pPr>
      <w:rPr>
        <w:rFonts w:hint="default"/>
        <w:lang w:val="en-US" w:eastAsia="en-US" w:bidi="en-US"/>
      </w:rPr>
    </w:lvl>
    <w:lvl w:ilvl="3" w:tplc="899EF840">
      <w:numFmt w:val="bullet"/>
      <w:lvlText w:val="•"/>
      <w:lvlJc w:val="left"/>
      <w:pPr>
        <w:ind w:left="4726" w:hanging="360"/>
      </w:pPr>
      <w:rPr>
        <w:rFonts w:hint="default"/>
        <w:lang w:val="en-US" w:eastAsia="en-US" w:bidi="en-US"/>
      </w:rPr>
    </w:lvl>
    <w:lvl w:ilvl="4" w:tplc="6CEC2E08">
      <w:numFmt w:val="bullet"/>
      <w:lvlText w:val="•"/>
      <w:lvlJc w:val="left"/>
      <w:pPr>
        <w:ind w:left="5420" w:hanging="360"/>
      </w:pPr>
      <w:rPr>
        <w:rFonts w:hint="default"/>
        <w:lang w:val="en-US" w:eastAsia="en-US" w:bidi="en-US"/>
      </w:rPr>
    </w:lvl>
    <w:lvl w:ilvl="5" w:tplc="6F5C8A80">
      <w:numFmt w:val="bullet"/>
      <w:lvlText w:val="•"/>
      <w:lvlJc w:val="left"/>
      <w:pPr>
        <w:ind w:left="6113" w:hanging="360"/>
      </w:pPr>
      <w:rPr>
        <w:rFonts w:hint="default"/>
        <w:lang w:val="en-US" w:eastAsia="en-US" w:bidi="en-US"/>
      </w:rPr>
    </w:lvl>
    <w:lvl w:ilvl="6" w:tplc="EF72916C">
      <w:numFmt w:val="bullet"/>
      <w:lvlText w:val="•"/>
      <w:lvlJc w:val="left"/>
      <w:pPr>
        <w:ind w:left="6806" w:hanging="360"/>
      </w:pPr>
      <w:rPr>
        <w:rFonts w:hint="default"/>
        <w:lang w:val="en-US" w:eastAsia="en-US" w:bidi="en-US"/>
      </w:rPr>
    </w:lvl>
    <w:lvl w:ilvl="7" w:tplc="4F62E94E">
      <w:numFmt w:val="bullet"/>
      <w:lvlText w:val="•"/>
      <w:lvlJc w:val="left"/>
      <w:pPr>
        <w:ind w:left="7500" w:hanging="360"/>
      </w:pPr>
      <w:rPr>
        <w:rFonts w:hint="default"/>
        <w:lang w:val="en-US" w:eastAsia="en-US" w:bidi="en-US"/>
      </w:rPr>
    </w:lvl>
    <w:lvl w:ilvl="8" w:tplc="E1867798">
      <w:numFmt w:val="bullet"/>
      <w:lvlText w:val="•"/>
      <w:lvlJc w:val="left"/>
      <w:pPr>
        <w:ind w:left="8193"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C4"/>
    <w:rsid w:val="00587741"/>
    <w:rsid w:val="007C72C4"/>
    <w:rsid w:val="00C3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3FD8A-959A-486D-BBF2-AB64CE05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lang w:bidi="en-US"/>
    </w:rPr>
  </w:style>
  <w:style w:type="paragraph" w:styleId="Heading1">
    <w:name w:val="heading 1"/>
    <w:basedOn w:val="Normal"/>
    <w:uiPriority w:val="1"/>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7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741"/>
    <w:rPr>
      <w:rFonts w:ascii="Segoe UI" w:eastAsia="Book Antiqu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cpcc.org/resource/patient-centered-medical-homes-impact-cost-and-quality-2014-2015" TargetMode="External"/><Relationship Id="rId13" Type="http://schemas.openxmlformats.org/officeDocument/2006/relationships/hyperlink" Target="http://www.ohic.ri.gov/ohic-reformandpolicy-pcmhinfo.php" TargetMode="External"/><Relationship Id="rId18" Type="http://schemas.openxmlformats.org/officeDocument/2006/relationships/hyperlink" Target="mailto:cory.king@ohic.ri.gov" TargetMode="External"/><Relationship Id="rId3" Type="http://schemas.openxmlformats.org/officeDocument/2006/relationships/settings" Target="settings.xml"/><Relationship Id="rId7" Type="http://schemas.openxmlformats.org/officeDocument/2006/relationships/hyperlink" Target="http://www.ctc-ri.org/" TargetMode="External"/><Relationship Id="rId12" Type="http://schemas.openxmlformats.org/officeDocument/2006/relationships/hyperlink" Target="http://www.ohic.ri.gov/ohic-reformandpolicy-pcmhinfo.php" TargetMode="External"/><Relationship Id="rId17" Type="http://schemas.openxmlformats.org/officeDocument/2006/relationships/hyperlink" Target="mailto:info@riqi.org" TargetMode="External"/><Relationship Id="rId2" Type="http://schemas.openxmlformats.org/officeDocument/2006/relationships/styles" Target="styles.xml"/><Relationship Id="rId16" Type="http://schemas.openxmlformats.org/officeDocument/2006/relationships/hyperlink" Target="mailto:CTCRI@umassmed.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www.surveygizmo.com_s3_4467322_2018-2DOHIC-2DPCMH-2DMeasures-2DReporting&amp;amp;d=DwMFAg&amp;amp;c=tSLbvWYfvulPN3G_n48TUw&amp;amp;r=Ad53w2zXMD5GNAJtxJ9jys67g5K3YrEl7FgMDoFXo6Y&amp;amp;m=SXMbfTXYhIVGmF9qNiKQQjFlDaIn6JbAP5P9TDYTQ2M&amp;amp;s=hYU9SfT3t4UinQUqDlSVw0M76W26evVnGMfyyGdDGjk&amp;amp;e" TargetMode="External"/><Relationship Id="rId5" Type="http://schemas.openxmlformats.org/officeDocument/2006/relationships/footnotes" Target="footnotes.xml"/><Relationship Id="rId15" Type="http://schemas.openxmlformats.org/officeDocument/2006/relationships/hyperlink" Target="https://urldefense.proofpoint.com/v2/url?u=https-3A__www.surveygizmo.com_s3_4467322_2018-2DOHIC-2DPCMH-2DMeasures-2DReporting&amp;amp;d=DwMFAg&amp;amp;c=tSLbvWYfvulPN3G_n48TUw&amp;amp;r=Ad53w2zXMD5GNAJtxJ9jys67g5K3YrEl7FgMDoFXo6Y&amp;amp;m=SXMbfTXYhIVGmF9qNiKQQjFlDaIn6JbAP5P9TDYTQ2M&amp;amp;s=hYU9SfT3t4UinQUqDlSVw0M76W26evVnGMfyyGdDGjk&amp;amp;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rldefense.proofpoint.com/v2/url?u=https-3A__www.surveygizmo.com_s3_4467322_2018-2DOHIC-2DPCMH-2DMeasures-2DReporting&amp;amp;d=DwMFAg&amp;amp;c=tSLbvWYfvulPN3G_n48TUw&amp;amp;r=Ad53w2zXMD5GNAJtxJ9jys67g5K3YrEl7FgMDoFXo6Y&amp;amp;m=SXMbfTXYhIVGmF9qNiKQQjFlDaIn6JbAP5P9TDYTQ2M&amp;amp;s=hYU9SfT3t4UinQUqDlSVw0M76W26evVnGMfyyGdDGjk&amp;am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hic.ri.gov/" TargetMode="External"/><Relationship Id="rId1" Type="http://schemas.openxmlformats.org/officeDocument/2006/relationships/hyperlink" Target="http://www.ohic.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Houy</dc:creator>
  <cp:lastModifiedBy>Karner, Carolyn</cp:lastModifiedBy>
  <cp:revision>2</cp:revision>
  <cp:lastPrinted>2018-09-05T14:02:00Z</cp:lastPrinted>
  <dcterms:created xsi:type="dcterms:W3CDTF">2018-09-05T14:03:00Z</dcterms:created>
  <dcterms:modified xsi:type="dcterms:W3CDTF">2018-09-05T14:03:00Z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2018-08-27T00:00:00Z</vt:filetime>
  </property>
</Properties>
</file>