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 Narrow" w:hAnsi="Arial Narrow"/>
        </w:rPr>
        <w:id w:val="-1699844083"/>
        <w:docPartObj>
          <w:docPartGallery w:val="Cover Pages"/>
          <w:docPartUnique/>
        </w:docPartObj>
      </w:sdtPr>
      <w:sdtEndPr>
        <w:rPr>
          <w:rFonts w:cs="Calibri"/>
          <w:sz w:val="36"/>
          <w:szCs w:val="36"/>
        </w:rPr>
      </w:sdtEndPr>
      <w:sdtContent>
        <w:p w14:paraId="31EECE2D" w14:textId="79C671C2" w:rsidR="00040D45" w:rsidRPr="008E0ACD" w:rsidRDefault="00AD215D" w:rsidP="008E0ACD">
          <w:pPr>
            <w:ind w:left="990"/>
            <w:rPr>
              <w:rFonts w:ascii="Arial Narrow" w:hAnsi="Arial Narrow"/>
            </w:rPr>
          </w:pPr>
          <w:r w:rsidRPr="008A7607">
            <w:rPr>
              <w:rFonts w:ascii="Arial Narrow" w:hAnsi="Arial Narrow"/>
              <w:noProof/>
            </w:rPr>
            <w:drawing>
              <wp:anchor distT="0" distB="0" distL="114300" distR="114300" simplePos="0" relativeHeight="251658240" behindDoc="0" locked="0" layoutInCell="1" allowOverlap="1" wp14:anchorId="531BBE58" wp14:editId="75B2F4DD">
                <wp:simplePos x="0" y="0"/>
                <wp:positionH relativeFrom="column">
                  <wp:posOffset>-333375</wp:posOffset>
                </wp:positionH>
                <wp:positionV relativeFrom="paragraph">
                  <wp:posOffset>-323850</wp:posOffset>
                </wp:positionV>
                <wp:extent cx="2352675" cy="898525"/>
                <wp:effectExtent l="0" t="0" r="9525" b="0"/>
                <wp:wrapSquare wrapText="bothSides"/>
                <wp:docPr id="1" name="Picture 1" descr="T:\11 Marketing &amp; Communications\Logos\CTC logo\CTC  singl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11 Marketing &amp; Communications\Logos\CTC logo\CTC  singl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434FC46" w14:textId="789FD3DB" w:rsidR="008E0ACD" w:rsidRDefault="008E0ACD" w:rsidP="008A7607">
          <w:pPr>
            <w:spacing w:after="0" w:line="240" w:lineRule="auto"/>
            <w:jc w:val="center"/>
            <w:rPr>
              <w:rFonts w:ascii="Arial Narrow" w:hAnsi="Arial Narrow" w:cs="Calibri"/>
              <w:color w:val="000000" w:themeColor="text1"/>
              <w:sz w:val="56"/>
              <w:szCs w:val="90"/>
            </w:rPr>
          </w:pPr>
        </w:p>
        <w:p w14:paraId="268F69C7" w14:textId="77777777" w:rsidR="008E0ACD" w:rsidRDefault="008E0ACD" w:rsidP="008A7607">
          <w:pPr>
            <w:spacing w:after="0" w:line="240" w:lineRule="auto"/>
            <w:jc w:val="center"/>
            <w:rPr>
              <w:rFonts w:ascii="Arial Narrow" w:hAnsi="Arial Narrow" w:cs="Calibri"/>
              <w:color w:val="000000" w:themeColor="text1"/>
              <w:sz w:val="56"/>
              <w:szCs w:val="90"/>
            </w:rPr>
          </w:pPr>
        </w:p>
        <w:p w14:paraId="3F32BD64" w14:textId="447ABF85" w:rsidR="008E0ACD" w:rsidRPr="00FC1DBA" w:rsidRDefault="008E0ACD" w:rsidP="00926197">
          <w:pPr>
            <w:spacing w:after="0" w:line="240" w:lineRule="auto"/>
            <w:jc w:val="center"/>
            <w:rPr>
              <w:rFonts w:cstheme="minorHAnsi"/>
              <w:color w:val="000000" w:themeColor="text1"/>
              <w:sz w:val="56"/>
              <w:szCs w:val="90"/>
            </w:rPr>
          </w:pPr>
          <w:r w:rsidRPr="00FC1DBA">
            <w:rPr>
              <w:rFonts w:cstheme="minorHAnsi"/>
              <w:color w:val="000000" w:themeColor="text1"/>
              <w:sz w:val="56"/>
              <w:szCs w:val="90"/>
            </w:rPr>
            <w:t xml:space="preserve">IBH Program </w:t>
          </w:r>
          <w:r w:rsidR="008A7607" w:rsidRPr="00FC1DBA">
            <w:rPr>
              <w:rFonts w:cstheme="minorHAnsi"/>
              <w:color w:val="000000" w:themeColor="text1"/>
              <w:sz w:val="56"/>
              <w:szCs w:val="90"/>
            </w:rPr>
            <w:t xml:space="preserve">Orientation </w:t>
          </w:r>
          <w:r w:rsidR="00926197" w:rsidRPr="00FC1DBA">
            <w:rPr>
              <w:rFonts w:cstheme="minorHAnsi"/>
              <w:color w:val="000000" w:themeColor="text1"/>
              <w:sz w:val="56"/>
              <w:szCs w:val="90"/>
            </w:rPr>
            <w:t>Binder</w:t>
          </w:r>
        </w:p>
        <w:p w14:paraId="6852BF75" w14:textId="686CAF81" w:rsidR="008A7607" w:rsidRPr="00FC1DBA" w:rsidRDefault="00926197" w:rsidP="008A7607">
          <w:pPr>
            <w:spacing w:after="0" w:line="240" w:lineRule="auto"/>
            <w:jc w:val="center"/>
            <w:rPr>
              <w:rFonts w:cstheme="minorHAnsi"/>
              <w:color w:val="000000" w:themeColor="text1"/>
              <w:sz w:val="56"/>
              <w:szCs w:val="90"/>
            </w:rPr>
          </w:pPr>
          <w:r w:rsidRPr="00FC1DBA">
            <w:rPr>
              <w:rFonts w:cstheme="minorHAnsi"/>
              <w:color w:val="000000" w:themeColor="text1"/>
              <w:sz w:val="56"/>
              <w:szCs w:val="90"/>
            </w:rPr>
            <w:t>Table of Contents</w:t>
          </w:r>
        </w:p>
        <w:p w14:paraId="34B3B0BF" w14:textId="77777777" w:rsidR="008E0ACD" w:rsidRPr="008E0ACD" w:rsidRDefault="008E0ACD" w:rsidP="00ED5FBB">
          <w:pPr>
            <w:spacing w:after="0" w:line="240" w:lineRule="auto"/>
            <w:rPr>
              <w:rFonts w:ascii="Arial Narrow" w:hAnsi="Arial Narrow" w:cs="Calibri"/>
              <w:color w:val="0070C0"/>
              <w:sz w:val="52"/>
              <w:szCs w:val="90"/>
            </w:rPr>
          </w:pPr>
        </w:p>
        <w:p w14:paraId="20AA3F40" w14:textId="4FC08A63" w:rsidR="008E0ACD" w:rsidRPr="008E0ACD" w:rsidRDefault="008E0ACD" w:rsidP="008E0ACD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6"/>
              <w:szCs w:val="90"/>
            </w:rPr>
          </w:pPr>
          <w:bookmarkStart w:id="0" w:name="_Hlk1993751"/>
          <w:r w:rsidRPr="008E0ACD">
            <w:rPr>
              <w:rFonts w:cstheme="minorHAnsi"/>
              <w:color w:val="000000" w:themeColor="text1"/>
              <w:sz w:val="36"/>
              <w:szCs w:val="90"/>
            </w:rPr>
            <w:t>Orientation Kick Off Agenda &amp; Presentation</w:t>
          </w:r>
        </w:p>
        <w:p w14:paraId="44B2B14E" w14:textId="3E6EB654" w:rsidR="008E0ACD" w:rsidRPr="008E0ACD" w:rsidRDefault="008E0ACD" w:rsidP="008E0ACD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6"/>
              <w:szCs w:val="90"/>
            </w:rPr>
          </w:pPr>
          <w:r w:rsidRPr="008E0ACD">
            <w:rPr>
              <w:rFonts w:cstheme="minorHAnsi"/>
              <w:color w:val="000000" w:themeColor="text1"/>
              <w:sz w:val="36"/>
              <w:szCs w:val="90"/>
            </w:rPr>
            <w:t>Collaborative Agreement</w:t>
          </w:r>
        </w:p>
        <w:p w14:paraId="3855995F" w14:textId="6213A3A4" w:rsidR="008E0ACD" w:rsidRPr="00ED5FBB" w:rsidRDefault="008E0ACD" w:rsidP="008E0ACD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2"/>
              <w:szCs w:val="90"/>
            </w:rPr>
          </w:pPr>
          <w:r w:rsidRPr="00ED5FBB">
            <w:rPr>
              <w:rFonts w:cstheme="minorHAnsi"/>
              <w:color w:val="000000" w:themeColor="text1"/>
              <w:sz w:val="32"/>
              <w:szCs w:val="90"/>
            </w:rPr>
            <w:t>Milestone Summary</w:t>
          </w:r>
        </w:p>
        <w:p w14:paraId="2679B4C1" w14:textId="00CFC5C4" w:rsidR="008E0ACD" w:rsidRPr="00ED5FBB" w:rsidRDefault="008E0ACD" w:rsidP="008E0ACD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2"/>
              <w:szCs w:val="90"/>
            </w:rPr>
          </w:pPr>
          <w:r w:rsidRPr="00ED5FBB">
            <w:rPr>
              <w:rFonts w:cstheme="minorHAnsi"/>
              <w:color w:val="000000" w:themeColor="text1"/>
              <w:sz w:val="32"/>
              <w:szCs w:val="90"/>
            </w:rPr>
            <w:t>CTC Measure Definition Document</w:t>
          </w:r>
        </w:p>
        <w:p w14:paraId="772E3AC7" w14:textId="07C2886C" w:rsidR="008E0ACD" w:rsidRDefault="008E0ACD" w:rsidP="008E0ACD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6"/>
              <w:szCs w:val="90"/>
            </w:rPr>
          </w:pPr>
          <w:r w:rsidRPr="008E0ACD">
            <w:rPr>
              <w:rFonts w:cstheme="minorHAnsi"/>
              <w:color w:val="000000" w:themeColor="text1"/>
              <w:sz w:val="36"/>
              <w:szCs w:val="90"/>
            </w:rPr>
            <w:t>Resources</w:t>
          </w:r>
        </w:p>
        <w:p w14:paraId="4CF84EAE" w14:textId="6E9BE81B" w:rsidR="008B3D47" w:rsidRPr="002F6E7E" w:rsidRDefault="008B3D47" w:rsidP="008B3D47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2"/>
              <w:szCs w:val="90"/>
            </w:rPr>
          </w:pPr>
          <w:r w:rsidRPr="002F6E7E">
            <w:rPr>
              <w:rFonts w:cstheme="minorHAnsi"/>
              <w:color w:val="000000" w:themeColor="text1"/>
              <w:sz w:val="32"/>
              <w:szCs w:val="90"/>
            </w:rPr>
            <w:t>Care Manager Job Description</w:t>
          </w:r>
        </w:p>
        <w:p w14:paraId="6E24482B" w14:textId="354C3727" w:rsidR="008B3D47" w:rsidRPr="002F6E7E" w:rsidRDefault="008B3D47" w:rsidP="008B3D47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2"/>
              <w:szCs w:val="90"/>
            </w:rPr>
          </w:pPr>
          <w:r w:rsidRPr="002F6E7E">
            <w:rPr>
              <w:rFonts w:cstheme="minorHAnsi"/>
              <w:color w:val="000000" w:themeColor="text1"/>
              <w:sz w:val="32"/>
              <w:szCs w:val="90"/>
              <w:u w:val="single"/>
            </w:rPr>
            <w:t xml:space="preserve">A Brief Measure for </w:t>
          </w:r>
          <w:r w:rsidR="00143C36" w:rsidRPr="002F6E7E">
            <w:rPr>
              <w:rFonts w:cstheme="minorHAnsi"/>
              <w:color w:val="000000" w:themeColor="text1"/>
              <w:sz w:val="32"/>
              <w:szCs w:val="90"/>
              <w:u w:val="single"/>
            </w:rPr>
            <w:t>Assessing</w:t>
          </w:r>
          <w:r w:rsidRPr="002F6E7E">
            <w:rPr>
              <w:rFonts w:cstheme="minorHAnsi"/>
              <w:color w:val="000000" w:themeColor="text1"/>
              <w:sz w:val="32"/>
              <w:szCs w:val="90"/>
              <w:u w:val="single"/>
            </w:rPr>
            <w:t xml:space="preserve"> Generalized Anxiety Disorde</w:t>
          </w:r>
          <w:r w:rsidR="00143C36" w:rsidRPr="002F6E7E">
            <w:rPr>
              <w:rFonts w:cstheme="minorHAnsi"/>
              <w:color w:val="000000" w:themeColor="text1"/>
              <w:sz w:val="32"/>
              <w:szCs w:val="90"/>
              <w:u w:val="single"/>
            </w:rPr>
            <w:t>r</w:t>
          </w:r>
          <w:r w:rsidR="00143C36" w:rsidRPr="002F6E7E">
            <w:rPr>
              <w:rFonts w:cstheme="minorHAnsi"/>
              <w:color w:val="000000" w:themeColor="text1"/>
              <w:sz w:val="32"/>
              <w:szCs w:val="90"/>
            </w:rPr>
            <w:t>, The GAD-7</w:t>
          </w:r>
        </w:p>
        <w:p w14:paraId="47ECB33A" w14:textId="0DC9F459" w:rsidR="00143C36" w:rsidRPr="002F6E7E" w:rsidRDefault="00143C36" w:rsidP="008B3D47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2"/>
              <w:szCs w:val="90"/>
            </w:rPr>
          </w:pPr>
          <w:r w:rsidRPr="002F6E7E">
            <w:rPr>
              <w:rFonts w:cstheme="minorHAnsi"/>
              <w:color w:val="000000" w:themeColor="text1"/>
              <w:sz w:val="32"/>
              <w:szCs w:val="90"/>
            </w:rPr>
            <w:t>Sample Compact</w:t>
          </w:r>
        </w:p>
        <w:p w14:paraId="17AFAD49" w14:textId="713DD143" w:rsidR="00143C36" w:rsidRPr="002F6E7E" w:rsidRDefault="00143C36" w:rsidP="008B3D47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2"/>
              <w:szCs w:val="90"/>
            </w:rPr>
          </w:pPr>
          <w:r w:rsidRPr="002F6E7E">
            <w:rPr>
              <w:rFonts w:cstheme="minorHAnsi"/>
              <w:color w:val="000000" w:themeColor="text1"/>
              <w:sz w:val="32"/>
              <w:szCs w:val="90"/>
            </w:rPr>
            <w:t>PDSA Worksheet</w:t>
          </w:r>
        </w:p>
        <w:p w14:paraId="031DAB9F" w14:textId="7EB77DCF" w:rsidR="00143C36" w:rsidRPr="002F6E7E" w:rsidRDefault="00143C36" w:rsidP="008B3D47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2"/>
              <w:szCs w:val="90"/>
            </w:rPr>
          </w:pPr>
          <w:proofErr w:type="spellStart"/>
          <w:r w:rsidRPr="002F6E7E">
            <w:rPr>
              <w:rFonts w:cstheme="minorHAnsi"/>
              <w:color w:val="000000" w:themeColor="text1"/>
              <w:sz w:val="32"/>
              <w:szCs w:val="90"/>
            </w:rPr>
            <w:t>MeHAF</w:t>
          </w:r>
          <w:proofErr w:type="spellEnd"/>
          <w:r w:rsidRPr="002F6E7E">
            <w:rPr>
              <w:rFonts w:cstheme="minorHAnsi"/>
              <w:color w:val="000000" w:themeColor="text1"/>
              <w:sz w:val="32"/>
              <w:szCs w:val="90"/>
            </w:rPr>
            <w:t xml:space="preserve"> </w:t>
          </w:r>
        </w:p>
        <w:p w14:paraId="60627A77" w14:textId="471546EB" w:rsidR="00143C36" w:rsidRPr="002F6E7E" w:rsidRDefault="00143C36" w:rsidP="008B3D47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2"/>
              <w:szCs w:val="90"/>
              <w:u w:val="single"/>
            </w:rPr>
          </w:pPr>
          <w:r w:rsidRPr="002F6E7E">
            <w:rPr>
              <w:rFonts w:cstheme="minorHAnsi"/>
              <w:color w:val="000000" w:themeColor="text1"/>
              <w:sz w:val="32"/>
              <w:szCs w:val="90"/>
              <w:u w:val="single"/>
            </w:rPr>
            <w:t>Brief Intervention for Anxiety in Primary Care Patients</w:t>
          </w:r>
        </w:p>
        <w:p w14:paraId="164E79F8" w14:textId="35612BEF" w:rsidR="00143C36" w:rsidRPr="002F6E7E" w:rsidRDefault="00143C36" w:rsidP="008B3D47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2"/>
              <w:szCs w:val="90"/>
            </w:rPr>
          </w:pPr>
          <w:r w:rsidRPr="002F6E7E">
            <w:rPr>
              <w:rFonts w:cstheme="minorHAnsi"/>
              <w:color w:val="000000" w:themeColor="text1"/>
              <w:sz w:val="32"/>
              <w:szCs w:val="90"/>
            </w:rPr>
            <w:t>Depression Care Algorithm</w:t>
          </w:r>
        </w:p>
        <w:p w14:paraId="6BDF3DAC" w14:textId="2A6A7A6C" w:rsidR="00143C36" w:rsidRPr="002F6E7E" w:rsidRDefault="00143C36" w:rsidP="008B3D47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2"/>
              <w:szCs w:val="90"/>
              <w:u w:val="single"/>
            </w:rPr>
          </w:pPr>
          <w:r w:rsidRPr="002F6E7E">
            <w:rPr>
              <w:rFonts w:cstheme="minorHAnsi"/>
              <w:color w:val="000000" w:themeColor="text1"/>
              <w:sz w:val="32"/>
              <w:szCs w:val="90"/>
              <w:u w:val="single"/>
            </w:rPr>
            <w:t>Strategies to Support the Integration of Behavioral Health and Primary Care: What Have We Learned Thus Far?</w:t>
          </w:r>
        </w:p>
        <w:p w14:paraId="51E743C5" w14:textId="74EEDAD9" w:rsidR="00143C36" w:rsidRDefault="00143C36" w:rsidP="008B3D47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2"/>
              <w:szCs w:val="90"/>
              <w:u w:val="single"/>
            </w:rPr>
          </w:pPr>
          <w:r w:rsidRPr="002F6E7E">
            <w:rPr>
              <w:rFonts w:cstheme="minorHAnsi"/>
              <w:color w:val="000000" w:themeColor="text1"/>
              <w:sz w:val="32"/>
              <w:szCs w:val="90"/>
              <w:u w:val="single"/>
            </w:rPr>
            <w:t xml:space="preserve">Perspectives in Primary Care: A Conceptual Framework and Path for Integrating Social Determinants of Health </w:t>
          </w:r>
          <w:proofErr w:type="gramStart"/>
          <w:r w:rsidRPr="002F6E7E">
            <w:rPr>
              <w:rFonts w:cstheme="minorHAnsi"/>
              <w:color w:val="000000" w:themeColor="text1"/>
              <w:sz w:val="32"/>
              <w:szCs w:val="90"/>
              <w:u w:val="single"/>
            </w:rPr>
            <w:t>Into</w:t>
          </w:r>
          <w:proofErr w:type="gramEnd"/>
          <w:r w:rsidRPr="002F6E7E">
            <w:rPr>
              <w:rFonts w:cstheme="minorHAnsi"/>
              <w:color w:val="000000" w:themeColor="text1"/>
              <w:sz w:val="32"/>
              <w:szCs w:val="90"/>
              <w:u w:val="single"/>
            </w:rPr>
            <w:t xml:space="preserve"> Primary Care Practice</w:t>
          </w:r>
          <w:bookmarkStart w:id="1" w:name="_GoBack"/>
          <w:bookmarkEnd w:id="1"/>
        </w:p>
        <w:p w14:paraId="0A4EAD72" w14:textId="4FC7BC09" w:rsidR="003A630C" w:rsidRDefault="003A630C" w:rsidP="008B3D47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2"/>
              <w:szCs w:val="90"/>
              <w:u w:val="single"/>
            </w:rPr>
          </w:pPr>
          <w:r>
            <w:rPr>
              <w:rFonts w:cstheme="minorHAnsi"/>
              <w:color w:val="000000" w:themeColor="text1"/>
              <w:sz w:val="32"/>
              <w:szCs w:val="90"/>
              <w:u w:val="single"/>
            </w:rPr>
            <w:t>Addressing Social Determinants of Health in Primary Care</w:t>
          </w:r>
        </w:p>
        <w:p w14:paraId="730E98FC" w14:textId="47C94E58" w:rsidR="002F6E7E" w:rsidRPr="00ED5FBB" w:rsidRDefault="002F6E7E" w:rsidP="008B3D47">
          <w:pPr>
            <w:pStyle w:val="ListParagraph"/>
            <w:numPr>
              <w:ilvl w:val="1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2"/>
              <w:szCs w:val="90"/>
            </w:rPr>
          </w:pPr>
          <w:r w:rsidRPr="00ED5FBB">
            <w:rPr>
              <w:rFonts w:cstheme="minorHAnsi"/>
              <w:color w:val="000000" w:themeColor="text1"/>
              <w:sz w:val="32"/>
              <w:szCs w:val="90"/>
            </w:rPr>
            <w:t>Goal At</w:t>
          </w:r>
          <w:r w:rsidR="00ED5FBB" w:rsidRPr="00ED5FBB">
            <w:rPr>
              <w:rFonts w:cstheme="minorHAnsi"/>
              <w:color w:val="000000" w:themeColor="text1"/>
              <w:sz w:val="32"/>
              <w:szCs w:val="90"/>
            </w:rPr>
            <w:t xml:space="preserve">tainment Scaling </w:t>
          </w:r>
        </w:p>
        <w:p w14:paraId="4987D0A8" w14:textId="67C0E190" w:rsidR="008A7607" w:rsidRPr="00ED5FBB" w:rsidRDefault="008E0ACD" w:rsidP="002F6E7E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cstheme="minorHAnsi"/>
              <w:color w:val="000000" w:themeColor="text1"/>
              <w:sz w:val="36"/>
              <w:szCs w:val="90"/>
            </w:rPr>
          </w:pPr>
          <w:r w:rsidRPr="008E0ACD">
            <w:rPr>
              <w:rFonts w:cstheme="minorHAnsi"/>
              <w:color w:val="000000" w:themeColor="text1"/>
              <w:sz w:val="36"/>
              <w:szCs w:val="90"/>
            </w:rPr>
            <w:t>Contact Information</w:t>
          </w:r>
        </w:p>
        <w:p w14:paraId="4871DC42" w14:textId="006DF219" w:rsidR="00ED16EC" w:rsidRPr="008A7607" w:rsidRDefault="003A630C" w:rsidP="008E0ACD">
          <w:pPr>
            <w:rPr>
              <w:rFonts w:ascii="Arial Narrow" w:hAnsi="Arial Narrow" w:cs="Calibri"/>
              <w:sz w:val="36"/>
              <w:szCs w:val="36"/>
            </w:rPr>
          </w:pPr>
        </w:p>
      </w:sdtContent>
    </w:sdt>
    <w:bookmarkEnd w:id="0" w:displacedByCustomXml="prev"/>
    <w:sectPr w:rsidR="00ED16EC" w:rsidRPr="008A7607" w:rsidSect="008E0ACD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F2382"/>
    <w:multiLevelType w:val="hybridMultilevel"/>
    <w:tmpl w:val="D9DC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EC"/>
    <w:rsid w:val="00040D45"/>
    <w:rsid w:val="000E6ADE"/>
    <w:rsid w:val="00143C36"/>
    <w:rsid w:val="002F6E7E"/>
    <w:rsid w:val="003A630C"/>
    <w:rsid w:val="00723D51"/>
    <w:rsid w:val="008A7607"/>
    <w:rsid w:val="008B3D47"/>
    <w:rsid w:val="008E0ACD"/>
    <w:rsid w:val="00926197"/>
    <w:rsid w:val="00AD215D"/>
    <w:rsid w:val="00E13B4E"/>
    <w:rsid w:val="00E9019E"/>
    <w:rsid w:val="00ED16EC"/>
    <w:rsid w:val="00ED5FBB"/>
    <w:rsid w:val="00F709D7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AC3D"/>
  <w15:docId w15:val="{FBEA5C79-16BF-4649-9145-762558F1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E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D16E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D16EC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E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Behavioral Health     Pilot Program                 Orientation Binder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Behavioral Health     Pilot Program                 Orientation Binder</dc:title>
  <dc:subject>Kickoff Event                                                                                                                                                                    January 12, 2015</dc:subject>
  <dc:creator>Brown, Michele (R</dc:creator>
  <cp:lastModifiedBy>Karner, Carolyn</cp:lastModifiedBy>
  <cp:revision>3</cp:revision>
  <cp:lastPrinted>2015-12-31T19:10:00Z</cp:lastPrinted>
  <dcterms:created xsi:type="dcterms:W3CDTF">2019-02-25T13:40:00Z</dcterms:created>
  <dcterms:modified xsi:type="dcterms:W3CDTF">2019-02-25T18:38:00Z</dcterms:modified>
</cp:coreProperties>
</file>