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6F" w:rsidRPr="00A41D6F" w:rsidRDefault="00A41D6F" w:rsidP="00A41D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A41D6F">
        <w:rPr>
          <w:rFonts w:ascii="Times New Roman" w:eastAsia="Times New Roman" w:hAnsi="Times New Roman" w:cs="Times New Roman"/>
          <w:color w:val="000000"/>
          <w:sz w:val="27"/>
          <w:szCs w:val="27"/>
        </w:rPr>
        <w:t>Measles, mumps, and rubella vaccination (minimum age: 12 months for routine vaccination)</w:t>
      </w:r>
    </w:p>
    <w:p w:rsidR="00A41D6F" w:rsidRPr="00A41D6F" w:rsidRDefault="00A41D6F" w:rsidP="00A41D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D6F">
        <w:rPr>
          <w:rFonts w:ascii="Times New Roman" w:eastAsia="Times New Roman" w:hAnsi="Times New Roman" w:cs="Times New Roman"/>
          <w:color w:val="000000"/>
          <w:sz w:val="24"/>
          <w:szCs w:val="24"/>
        </w:rPr>
        <w:t>Routine vaccination</w:t>
      </w:r>
    </w:p>
    <w:p w:rsidR="00A41D6F" w:rsidRPr="00A41D6F" w:rsidRDefault="00A41D6F" w:rsidP="00A41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A41D6F">
        <w:rPr>
          <w:rFonts w:ascii="Segoe UI" w:eastAsia="Times New Roman" w:hAnsi="Segoe UI" w:cs="Segoe UI"/>
          <w:color w:val="000000"/>
          <w:sz w:val="26"/>
          <w:szCs w:val="26"/>
        </w:rPr>
        <w:t>2-dose series at 12–15 months, 4–6 years</w:t>
      </w:r>
    </w:p>
    <w:p w:rsidR="00A41D6F" w:rsidRPr="00A41D6F" w:rsidRDefault="00A41D6F" w:rsidP="00A41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A41D6F">
        <w:rPr>
          <w:rFonts w:ascii="Segoe UI" w:eastAsia="Times New Roman" w:hAnsi="Segoe UI" w:cs="Segoe UI"/>
          <w:color w:val="000000"/>
          <w:sz w:val="26"/>
          <w:szCs w:val="26"/>
        </w:rPr>
        <w:t>Dose 2 may be administered as early as 4 weeks after dose 1.</w:t>
      </w:r>
    </w:p>
    <w:p w:rsidR="00A41D6F" w:rsidRPr="00A41D6F" w:rsidRDefault="00A41D6F" w:rsidP="00A41D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D6F">
        <w:rPr>
          <w:rFonts w:ascii="Times New Roman" w:eastAsia="Times New Roman" w:hAnsi="Times New Roman" w:cs="Times New Roman"/>
          <w:color w:val="000000"/>
          <w:sz w:val="24"/>
          <w:szCs w:val="24"/>
        </w:rPr>
        <w:t>Catch-up vaccination</w:t>
      </w:r>
    </w:p>
    <w:p w:rsidR="00A41D6F" w:rsidRPr="00A41D6F" w:rsidRDefault="00A41D6F" w:rsidP="00A41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A41D6F">
        <w:rPr>
          <w:rFonts w:ascii="Segoe UI" w:eastAsia="Times New Roman" w:hAnsi="Segoe UI" w:cs="Segoe UI"/>
          <w:color w:val="000000"/>
          <w:sz w:val="26"/>
          <w:szCs w:val="26"/>
        </w:rPr>
        <w:t>Unvaccinated children and adolescents: 2-dose series at least 4 weeks apart</w:t>
      </w:r>
    </w:p>
    <w:p w:rsidR="00A41D6F" w:rsidRPr="00A41D6F" w:rsidRDefault="00A41D6F" w:rsidP="00A41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A41D6F">
        <w:rPr>
          <w:rFonts w:ascii="Segoe UI" w:eastAsia="Times New Roman" w:hAnsi="Segoe UI" w:cs="Segoe UI"/>
          <w:color w:val="000000"/>
          <w:sz w:val="26"/>
          <w:szCs w:val="26"/>
        </w:rPr>
        <w:t>The maximum age for use of MMRV is 12 years.</w:t>
      </w:r>
    </w:p>
    <w:p w:rsidR="00A41D6F" w:rsidRPr="00A41D6F" w:rsidRDefault="00A41D6F" w:rsidP="00A41D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D6F">
        <w:rPr>
          <w:rFonts w:ascii="Times New Roman" w:eastAsia="Times New Roman" w:hAnsi="Times New Roman" w:cs="Times New Roman"/>
          <w:color w:val="000000"/>
          <w:sz w:val="24"/>
          <w:szCs w:val="24"/>
        </w:rPr>
        <w:t>Special situations</w:t>
      </w:r>
    </w:p>
    <w:p w:rsidR="00A41D6F" w:rsidRPr="00A41D6F" w:rsidRDefault="00A41D6F" w:rsidP="00A41D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A41D6F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International travel</w:t>
      </w:r>
    </w:p>
    <w:p w:rsidR="00A41D6F" w:rsidRPr="00A41D6F" w:rsidRDefault="00A41D6F" w:rsidP="00A41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A41D6F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Infants age 6–11 months:</w:t>
      </w:r>
      <w:r w:rsidRPr="00A41D6F">
        <w:rPr>
          <w:rFonts w:ascii="Segoe UI" w:eastAsia="Times New Roman" w:hAnsi="Segoe UI" w:cs="Segoe UI"/>
          <w:color w:val="000000"/>
          <w:sz w:val="26"/>
          <w:szCs w:val="26"/>
        </w:rPr>
        <w:t> 1 dose before departure; revaccinate with 2-dose series with dose 1 at 12–15 months (12 months for children in high-risk areas) and dose 2 as early as 4 weeks later.</w:t>
      </w:r>
    </w:p>
    <w:p w:rsidR="00A41D6F" w:rsidRPr="00A41D6F" w:rsidRDefault="00A41D6F" w:rsidP="00A41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A41D6F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Unvaccinated children age 12 months and older:</w:t>
      </w:r>
      <w:r w:rsidRPr="00A41D6F">
        <w:rPr>
          <w:rFonts w:ascii="Segoe UI" w:eastAsia="Times New Roman" w:hAnsi="Segoe UI" w:cs="Segoe UI"/>
          <w:color w:val="000000"/>
          <w:sz w:val="26"/>
          <w:szCs w:val="26"/>
        </w:rPr>
        <w:t> 2-dose series at least 4 weeks apart before departure</w:t>
      </w:r>
    </w:p>
    <w:p w:rsidR="00F445A0" w:rsidRDefault="00F445A0"/>
    <w:sectPr w:rsidR="00F4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ACC"/>
    <w:multiLevelType w:val="multilevel"/>
    <w:tmpl w:val="0CC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E5433"/>
    <w:multiLevelType w:val="multilevel"/>
    <w:tmpl w:val="BBE2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6579A"/>
    <w:multiLevelType w:val="multilevel"/>
    <w:tmpl w:val="0FC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6F"/>
    <w:rsid w:val="00A41D6F"/>
    <w:rsid w:val="00CB49B6"/>
    <w:rsid w:val="00F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AFC8E-D52D-46EB-95B9-A9267F69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2020-07-02T14:29:00Z</dcterms:created>
  <dcterms:modified xsi:type="dcterms:W3CDTF">2020-07-02T14:29:00Z</dcterms:modified>
</cp:coreProperties>
</file>