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C2" w:rsidRDefault="00622C72">
      <w:pPr>
        <w:pStyle w:val="BodyText"/>
        <w:ind w:left="3400" w:firstLine="0"/>
        <w:rPr>
          <w:rFonts w:ascii="Times New Roman"/>
          <w:sz w:val="20"/>
        </w:rPr>
      </w:pPr>
      <w:r w:rsidRPr="00622C72">
        <w:rPr>
          <w:rFonts w:ascii="Times New Roman"/>
          <w:noProof/>
          <w:sz w:val="20"/>
        </w:rPr>
        <w:drawing>
          <wp:inline distT="0" distB="0" distL="0" distR="0" wp14:anchorId="761DB857" wp14:editId="6D35DAD6">
            <wp:extent cx="3314702" cy="931663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2" cy="93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8C2" w:rsidRDefault="005028C2">
      <w:pPr>
        <w:pStyle w:val="BodyText"/>
        <w:spacing w:before="3"/>
        <w:ind w:left="0" w:firstLine="0"/>
        <w:rPr>
          <w:rFonts w:ascii="Times New Roman"/>
          <w:sz w:val="16"/>
        </w:rPr>
      </w:pPr>
    </w:p>
    <w:p w:rsidR="00E047B6" w:rsidRPr="00077370" w:rsidRDefault="00825AEF">
      <w:pPr>
        <w:spacing w:before="36" w:line="247" w:lineRule="auto"/>
        <w:ind w:left="420" w:right="413" w:firstLine="9"/>
        <w:jc w:val="center"/>
        <w:rPr>
          <w:b/>
          <w:color w:val="1F497D" w:themeColor="text2"/>
          <w:sz w:val="28"/>
        </w:rPr>
      </w:pPr>
      <w:r w:rsidRPr="00077370">
        <w:rPr>
          <w:b/>
          <w:color w:val="1F497D" w:themeColor="text2"/>
          <w:sz w:val="28"/>
        </w:rPr>
        <w:t xml:space="preserve">An opportunity for your </w:t>
      </w:r>
      <w:r w:rsidR="00E047B6" w:rsidRPr="00077370">
        <w:rPr>
          <w:b/>
          <w:color w:val="1F497D" w:themeColor="text2"/>
          <w:sz w:val="28"/>
        </w:rPr>
        <w:t xml:space="preserve">pediatric </w:t>
      </w:r>
      <w:r w:rsidRPr="00077370">
        <w:rPr>
          <w:b/>
          <w:color w:val="1F497D" w:themeColor="text2"/>
          <w:sz w:val="28"/>
        </w:rPr>
        <w:t xml:space="preserve">primary care </w:t>
      </w:r>
      <w:r w:rsidR="00E047B6" w:rsidRPr="00077370">
        <w:rPr>
          <w:b/>
          <w:color w:val="1F497D" w:themeColor="text2"/>
          <w:sz w:val="28"/>
        </w:rPr>
        <w:t xml:space="preserve">/ family </w:t>
      </w:r>
      <w:r w:rsidR="0074236D">
        <w:rPr>
          <w:b/>
          <w:color w:val="1F497D" w:themeColor="text2"/>
          <w:sz w:val="28"/>
        </w:rPr>
        <w:t xml:space="preserve">practice to apply for:  </w:t>
      </w:r>
    </w:p>
    <w:p w:rsidR="00077370" w:rsidRPr="00077370" w:rsidRDefault="00077370">
      <w:pPr>
        <w:spacing w:before="36" w:line="247" w:lineRule="auto"/>
        <w:ind w:left="420" w:right="413" w:firstLine="9"/>
        <w:jc w:val="center"/>
        <w:rPr>
          <w:b/>
          <w:sz w:val="18"/>
        </w:rPr>
      </w:pPr>
    </w:p>
    <w:p w:rsidR="008E6616" w:rsidRPr="008E6616" w:rsidRDefault="00825AEF" w:rsidP="00077370">
      <w:pPr>
        <w:spacing w:before="36" w:line="247" w:lineRule="auto"/>
        <w:ind w:left="420" w:right="413" w:firstLine="9"/>
        <w:jc w:val="center"/>
        <w:rPr>
          <w:b/>
          <w:i/>
          <w:color w:val="FFC000"/>
          <w:sz w:val="32"/>
        </w:rPr>
      </w:pPr>
      <w:r w:rsidRPr="008E6616">
        <w:rPr>
          <w:b/>
          <w:i/>
          <w:color w:val="FFC000"/>
          <w:sz w:val="32"/>
        </w:rPr>
        <w:t>July 201</w:t>
      </w:r>
      <w:r w:rsidR="00E047B6" w:rsidRPr="008E6616">
        <w:rPr>
          <w:b/>
          <w:i/>
          <w:color w:val="FFC000"/>
          <w:sz w:val="32"/>
        </w:rPr>
        <w:t>9</w:t>
      </w:r>
      <w:r w:rsidR="0074236D" w:rsidRPr="008E6616">
        <w:rPr>
          <w:b/>
          <w:i/>
          <w:color w:val="FFC000"/>
          <w:sz w:val="32"/>
        </w:rPr>
        <w:t xml:space="preserve"> </w:t>
      </w:r>
      <w:r w:rsidR="008E6616" w:rsidRPr="008E6616">
        <w:rPr>
          <w:b/>
          <w:i/>
          <w:color w:val="FFC000"/>
          <w:sz w:val="32"/>
        </w:rPr>
        <w:t xml:space="preserve">CTC / </w:t>
      </w:r>
      <w:r w:rsidR="0074236D" w:rsidRPr="008E6616">
        <w:rPr>
          <w:b/>
          <w:i/>
          <w:color w:val="FFC000"/>
          <w:sz w:val="32"/>
        </w:rPr>
        <w:t xml:space="preserve">PCMH Kids </w:t>
      </w:r>
    </w:p>
    <w:p w:rsidR="00077370" w:rsidRPr="008E6616" w:rsidRDefault="008E6616" w:rsidP="008E6616">
      <w:pPr>
        <w:spacing w:before="36" w:line="247" w:lineRule="auto"/>
        <w:ind w:left="420" w:right="413" w:firstLine="9"/>
        <w:jc w:val="center"/>
        <w:rPr>
          <w:b/>
          <w:i/>
          <w:color w:val="FFC000"/>
          <w:sz w:val="32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96AC26A" wp14:editId="5FB11CF2">
                <wp:simplePos x="0" y="0"/>
                <wp:positionH relativeFrom="margin">
                  <wp:posOffset>114300</wp:posOffset>
                </wp:positionH>
                <wp:positionV relativeFrom="paragraph">
                  <wp:posOffset>375285</wp:posOffset>
                </wp:positionV>
                <wp:extent cx="6826250" cy="260985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2609850"/>
                        </a:xfrm>
                        <a:prstGeom prst="rect">
                          <a:avLst/>
                        </a:prstGeom>
                        <a:solidFill>
                          <a:srgbClr val="14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8C2" w:rsidRDefault="0074236D">
                            <w:pPr>
                              <w:spacing w:before="88"/>
                              <w:ind w:left="8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WHY APPY</w:t>
                            </w:r>
                            <w:r w:rsidR="00825AEF">
                              <w:rPr>
                                <w:b/>
                                <w:color w:val="FFFFFF"/>
                                <w:sz w:val="26"/>
                              </w:rPr>
                              <w:t>?</w:t>
                            </w:r>
                          </w:p>
                          <w:p w:rsidR="0074236D" w:rsidRDefault="0074236D" w:rsidP="00077370">
                            <w:pPr>
                              <w:pStyle w:val="BodyText"/>
                              <w:spacing w:before="18" w:line="247" w:lineRule="auto"/>
                              <w:ind w:left="80" w:right="624" w:firstLine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Up to eight practices will be selected to participate in our IBH pediatric pilot program.  Selected practices will be eligible for: </w:t>
                            </w:r>
                          </w:p>
                          <w:p w:rsidR="0074236D" w:rsidRPr="0074236D" w:rsidRDefault="0074236D" w:rsidP="0074236D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8" w:line="247" w:lineRule="auto"/>
                              <w:ind w:right="624"/>
                            </w:pPr>
                            <w:r>
                              <w:rPr>
                                <w:color w:val="FFFFFF"/>
                              </w:rPr>
                              <w:t>Infrastructure</w:t>
                            </w:r>
                            <w:r w:rsidR="00825AEF">
                              <w:rPr>
                                <w:color w:val="FFFFFF"/>
                              </w:rPr>
                              <w:t xml:space="preserve"> payment</w:t>
                            </w:r>
                            <w:r>
                              <w:rPr>
                                <w:color w:val="FFFFFF"/>
                              </w:rPr>
                              <w:t xml:space="preserve"> support</w:t>
                            </w:r>
                            <w:r w:rsidR="00825AEF"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 $18,000* in the first year (made in two installments);</w:t>
                            </w:r>
                          </w:p>
                          <w:p w:rsidR="0074236D" w:rsidRPr="0074236D" w:rsidRDefault="0074236D" w:rsidP="0074236D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8" w:line="247" w:lineRule="auto"/>
                              <w:ind w:right="624"/>
                            </w:pPr>
                            <w:r>
                              <w:rPr>
                                <w:color w:val="FFFFFF"/>
                              </w:rPr>
                              <w:t>U</w:t>
                            </w:r>
                            <w:r w:rsidR="008A0BE2">
                              <w:rPr>
                                <w:color w:val="FFFFFF"/>
                              </w:rPr>
                              <w:t>p to $10,000 in incentive payments based on meeting service delivery requ</w:t>
                            </w:r>
                            <w:r>
                              <w:rPr>
                                <w:color w:val="FFFFFF"/>
                              </w:rPr>
                              <w:t xml:space="preserve">irements and screening targets ($5000 year 1; $5000 year 2); </w:t>
                            </w:r>
                          </w:p>
                          <w:p w:rsidR="005028C2" w:rsidRPr="0074236D" w:rsidRDefault="0074236D" w:rsidP="0074236D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8" w:line="247" w:lineRule="auto"/>
                              <w:ind w:right="624"/>
                            </w:pPr>
                            <w:r>
                              <w:rPr>
                                <w:color w:val="FFFFFF"/>
                              </w:rPr>
                              <w:t>M</w:t>
                            </w:r>
                            <w:r w:rsidR="008A0BE2">
                              <w:rPr>
                                <w:color w:val="FFFFFF"/>
                              </w:rPr>
                              <w:t xml:space="preserve">onthly on-site consultation with a trained pediatric IBH practice facilitator and quarterly learning </w:t>
                            </w:r>
                            <w:r w:rsidR="00077370">
                              <w:rPr>
                                <w:color w:val="FFFFFF"/>
                              </w:rPr>
                              <w:t>sessions with content e</w:t>
                            </w:r>
                            <w:r>
                              <w:rPr>
                                <w:color w:val="FFFFFF"/>
                              </w:rPr>
                              <w:t>xperts and best practice peer learning opportunities</w:t>
                            </w:r>
                            <w:r w:rsidR="00077370">
                              <w:rPr>
                                <w:color w:val="FFFFFF"/>
                              </w:rPr>
                              <w:t xml:space="preserve">. </w:t>
                            </w:r>
                          </w:p>
                          <w:p w:rsidR="008401DD" w:rsidRPr="008401DD" w:rsidRDefault="0074236D" w:rsidP="008401DD">
                            <w:pPr>
                              <w:pStyle w:val="BodyText"/>
                              <w:spacing w:before="207" w:line="247" w:lineRule="auto"/>
                              <w:ind w:left="80" w:right="624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z w:val="16"/>
                                <w:szCs w:val="16"/>
                              </w:rPr>
                              <w:t>additional infrastructure support may be available for practices that with large panel</w:t>
                            </w:r>
                            <w:r w:rsidR="008401DD">
                              <w:rPr>
                                <w:color w:val="FFFFFF"/>
                                <w:sz w:val="16"/>
                                <w:szCs w:val="16"/>
                              </w:rPr>
                              <w:t>s of patients</w:t>
                            </w:r>
                            <w:r w:rsidR="008401DD" w:rsidRPr="008401DD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.  Priority is given to practices serving vulnerable populations. </w:t>
                            </w:r>
                          </w:p>
                          <w:p w:rsidR="008401DD" w:rsidRPr="00B85C66" w:rsidRDefault="008401DD" w:rsidP="00B85C66">
                            <w:pPr>
                              <w:pStyle w:val="BodyText"/>
                              <w:spacing w:before="18" w:line="247" w:lineRule="auto"/>
                              <w:ind w:left="0" w:right="624"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401DD" w:rsidRDefault="008401DD" w:rsidP="008401DD">
                            <w:pPr>
                              <w:tabs>
                                <w:tab w:val="left" w:pos="640"/>
                              </w:tabs>
                              <w:spacing w:before="17" w:line="228" w:lineRule="auto"/>
                              <w:ind w:right="160"/>
                            </w:pPr>
                            <w:r>
                              <w:rPr>
                                <w:color w:val="FFFFFF"/>
                              </w:rPr>
                              <w:t xml:space="preserve">The financial </w:t>
                            </w:r>
                            <w:r w:rsidR="002637B6">
                              <w:rPr>
                                <w:color w:val="FFFFFF"/>
                              </w:rPr>
                              <w:t>support is provided</w:t>
                            </w:r>
                            <w:r w:rsidR="00B85C66">
                              <w:rPr>
                                <w:color w:val="FFFFFF"/>
                              </w:rPr>
                              <w:t xml:space="preserve"> through a grant from the Rhode Island Foundation Behavioral Health Fund and by Tufts Health Plan.  </w:t>
                            </w:r>
                            <w:r w:rsidR="002637B6">
                              <w:rPr>
                                <w:color w:val="FFFFFF"/>
                              </w:rPr>
                              <w:t>Infrastructure payment is</w:t>
                            </w:r>
                            <w:r>
                              <w:rPr>
                                <w:color w:val="FFFFFF"/>
                              </w:rPr>
                              <w:t xml:space="preserve"> intended to help o</w:t>
                            </w:r>
                            <w:r w:rsidRPr="008401DD">
                              <w:rPr>
                                <w:color w:val="FFFFFF" w:themeColor="background1"/>
                              </w:rPr>
                              <w:t>ff-set costs associated with on boarding behavioral health clinician, developing coding and billing mechanisms needed for sustainability and costs associated with non-billable time.</w:t>
                            </w:r>
                            <w:r w:rsidR="00B85C66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AC2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29.55pt;width:537.5pt;height:205.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" fillcolor="#145496" stroked="f">
                <v:textbox inset="0,0,0,0">
                  <w:txbxContent>
                    <w:p w:rsidR="005028C2" w:rsidRDefault="0074236D">
                      <w:pPr>
                        <w:spacing w:before="88"/>
                        <w:ind w:left="8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WHY APPY</w:t>
                      </w:r>
                      <w:r w:rsidR="00825AEF">
                        <w:rPr>
                          <w:b/>
                          <w:color w:val="FFFFFF"/>
                          <w:sz w:val="26"/>
                        </w:rPr>
                        <w:t>?</w:t>
                      </w:r>
                    </w:p>
                    <w:p w:rsidR="0074236D" w:rsidRDefault="0074236D" w:rsidP="00077370">
                      <w:pPr>
                        <w:pStyle w:val="BodyText"/>
                        <w:spacing w:before="18" w:line="247" w:lineRule="auto"/>
                        <w:ind w:left="80" w:right="624" w:firstLine="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 xml:space="preserve">Up to eight practices will be selected to participate in our IBH pediatric pilot program.  Selected practices will be eligible for: </w:t>
                      </w:r>
                    </w:p>
                    <w:p w:rsidR="0074236D" w:rsidRPr="0074236D" w:rsidRDefault="0074236D" w:rsidP="0074236D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8" w:line="247" w:lineRule="auto"/>
                        <w:ind w:right="624"/>
                      </w:pPr>
                      <w:r>
                        <w:rPr>
                          <w:color w:val="FFFFFF"/>
                        </w:rPr>
                        <w:t>Infrastructure</w:t>
                      </w:r>
                      <w:r w:rsidR="00825AEF">
                        <w:rPr>
                          <w:color w:val="FFFFFF"/>
                        </w:rPr>
                        <w:t xml:space="preserve"> payment</w:t>
                      </w:r>
                      <w:r>
                        <w:rPr>
                          <w:color w:val="FFFFFF"/>
                        </w:rPr>
                        <w:t xml:space="preserve"> support</w:t>
                      </w:r>
                      <w:r w:rsidR="00825AEF"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 $18,000* in the first year (made in two installments);</w:t>
                      </w:r>
                    </w:p>
                    <w:p w:rsidR="0074236D" w:rsidRPr="0074236D" w:rsidRDefault="0074236D" w:rsidP="0074236D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8" w:line="247" w:lineRule="auto"/>
                        <w:ind w:right="624"/>
                      </w:pPr>
                      <w:r>
                        <w:rPr>
                          <w:color w:val="FFFFFF"/>
                        </w:rPr>
                        <w:t>U</w:t>
                      </w:r>
                      <w:r w:rsidR="008A0BE2">
                        <w:rPr>
                          <w:color w:val="FFFFFF"/>
                        </w:rPr>
                        <w:t>p to $10,000 in incentive payments based on meeting service delivery requ</w:t>
                      </w:r>
                      <w:r>
                        <w:rPr>
                          <w:color w:val="FFFFFF"/>
                        </w:rPr>
                        <w:t xml:space="preserve">irements and screening targets ($5000 year 1; $5000 year 2); </w:t>
                      </w:r>
                    </w:p>
                    <w:p w:rsidR="005028C2" w:rsidRPr="0074236D" w:rsidRDefault="0074236D" w:rsidP="0074236D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8" w:line="247" w:lineRule="auto"/>
                        <w:ind w:right="624"/>
                      </w:pPr>
                      <w:r>
                        <w:rPr>
                          <w:color w:val="FFFFFF"/>
                        </w:rPr>
                        <w:t>M</w:t>
                      </w:r>
                      <w:r w:rsidR="008A0BE2">
                        <w:rPr>
                          <w:color w:val="FFFFFF"/>
                        </w:rPr>
                        <w:t xml:space="preserve">onthly on-site consultation with a trained pediatric IBH practice facilitator and quarterly learning </w:t>
                      </w:r>
                      <w:r w:rsidR="00077370">
                        <w:rPr>
                          <w:color w:val="FFFFFF"/>
                        </w:rPr>
                        <w:t>sessions with content e</w:t>
                      </w:r>
                      <w:r>
                        <w:rPr>
                          <w:color w:val="FFFFFF"/>
                        </w:rPr>
                        <w:t>xperts and best practice peer learning opportunities</w:t>
                      </w:r>
                      <w:r w:rsidR="00077370">
                        <w:rPr>
                          <w:color w:val="FFFFFF"/>
                        </w:rPr>
                        <w:t xml:space="preserve">. </w:t>
                      </w:r>
                    </w:p>
                    <w:p w:rsidR="008401DD" w:rsidRPr="008401DD" w:rsidRDefault="0074236D" w:rsidP="008401DD">
                      <w:pPr>
                        <w:pStyle w:val="BodyText"/>
                        <w:spacing w:before="207" w:line="247" w:lineRule="auto"/>
                        <w:ind w:left="80" w:right="624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</w:rPr>
                        <w:t>*</w:t>
                      </w:r>
                      <w:r>
                        <w:rPr>
                          <w:color w:val="FFFFFF"/>
                          <w:sz w:val="16"/>
                          <w:szCs w:val="16"/>
                        </w:rPr>
                        <w:t>additional infrastructure support may be available for practices that with large panel</w:t>
                      </w:r>
                      <w:r w:rsidR="008401DD">
                        <w:rPr>
                          <w:color w:val="FFFFFF"/>
                          <w:sz w:val="16"/>
                          <w:szCs w:val="16"/>
                        </w:rPr>
                        <w:t>s of patients</w:t>
                      </w:r>
                      <w:r w:rsidR="008401DD" w:rsidRPr="008401DD">
                        <w:rPr>
                          <w:color w:val="FFFFFF"/>
                          <w:sz w:val="16"/>
                          <w:szCs w:val="16"/>
                        </w:rPr>
                        <w:t xml:space="preserve">.  Priority is given to practices serving vulnerable populations. </w:t>
                      </w:r>
                    </w:p>
                    <w:p w:rsidR="008401DD" w:rsidRPr="00B85C66" w:rsidRDefault="008401DD" w:rsidP="00B85C66">
                      <w:pPr>
                        <w:pStyle w:val="BodyText"/>
                        <w:spacing w:before="18" w:line="247" w:lineRule="auto"/>
                        <w:ind w:left="0" w:right="624" w:firstLine="0"/>
                        <w:rPr>
                          <w:sz w:val="16"/>
                          <w:szCs w:val="16"/>
                        </w:rPr>
                      </w:pPr>
                    </w:p>
                    <w:p w:rsidR="008401DD" w:rsidRDefault="008401DD" w:rsidP="008401DD">
                      <w:pPr>
                        <w:tabs>
                          <w:tab w:val="left" w:pos="640"/>
                        </w:tabs>
                        <w:spacing w:before="17" w:line="228" w:lineRule="auto"/>
                        <w:ind w:right="160"/>
                      </w:pPr>
                      <w:r>
                        <w:rPr>
                          <w:color w:val="FFFFFF"/>
                        </w:rPr>
                        <w:t xml:space="preserve">The financial </w:t>
                      </w:r>
                      <w:r w:rsidR="002637B6">
                        <w:rPr>
                          <w:color w:val="FFFFFF"/>
                        </w:rPr>
                        <w:t>support is provided</w:t>
                      </w:r>
                      <w:r w:rsidR="00B85C66">
                        <w:rPr>
                          <w:color w:val="FFFFFF"/>
                        </w:rPr>
                        <w:t xml:space="preserve"> through a grant from the Rhode Island Foundation Behavioral Health Fund and by Tufts Health Plan.  </w:t>
                      </w:r>
                      <w:r w:rsidR="002637B6">
                        <w:rPr>
                          <w:color w:val="FFFFFF"/>
                        </w:rPr>
                        <w:t>Infrastructure payment is</w:t>
                      </w:r>
                      <w:r>
                        <w:rPr>
                          <w:color w:val="FFFFFF"/>
                        </w:rPr>
                        <w:t xml:space="preserve"> intended to help o</w:t>
                      </w:r>
                      <w:r w:rsidRPr="008401DD">
                        <w:rPr>
                          <w:color w:val="FFFFFF" w:themeColor="background1"/>
                        </w:rPr>
                        <w:t>ff-set costs associated with on boarding behavioral health clinician, developing coding and billing mechanisms needed for sustainability and costs associated with non-billable time.</w:t>
                      </w:r>
                      <w:r w:rsidR="00B85C66">
                        <w:rPr>
                          <w:color w:val="FFFFFF" w:themeColor="background1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4236D" w:rsidRPr="008E6616">
        <w:rPr>
          <w:b/>
          <w:i/>
          <w:color w:val="FFC000"/>
          <w:sz w:val="32"/>
        </w:rPr>
        <w:t>Pediatric</w:t>
      </w:r>
      <w:r w:rsidR="00825AEF" w:rsidRPr="008E6616">
        <w:rPr>
          <w:b/>
          <w:i/>
          <w:color w:val="FFC000"/>
          <w:sz w:val="32"/>
        </w:rPr>
        <w:t xml:space="preserve"> </w:t>
      </w:r>
      <w:r w:rsidR="00E047B6" w:rsidRPr="008E6616">
        <w:rPr>
          <w:b/>
          <w:i/>
          <w:color w:val="FFC000"/>
          <w:sz w:val="32"/>
        </w:rPr>
        <w:t>Integrated Behavioral Health</w:t>
      </w:r>
      <w:r w:rsidR="008A0BE2" w:rsidRPr="008E6616">
        <w:rPr>
          <w:b/>
          <w:i/>
          <w:color w:val="FFC000"/>
          <w:sz w:val="32"/>
        </w:rPr>
        <w:t xml:space="preserve"> (IBH)</w:t>
      </w:r>
      <w:r w:rsidR="00825AEF" w:rsidRPr="008E6616">
        <w:rPr>
          <w:b/>
          <w:i/>
          <w:color w:val="FFC000"/>
          <w:spacing w:val="-16"/>
          <w:sz w:val="32"/>
        </w:rPr>
        <w:t xml:space="preserve"> </w:t>
      </w:r>
      <w:r w:rsidR="00E047B6" w:rsidRPr="008E6616">
        <w:rPr>
          <w:b/>
          <w:i/>
          <w:color w:val="FFC000"/>
          <w:sz w:val="32"/>
        </w:rPr>
        <w:t>Program</w:t>
      </w:r>
    </w:p>
    <w:p w:rsidR="005028C2" w:rsidRDefault="008401DD">
      <w:pPr>
        <w:pStyle w:val="Heading1"/>
        <w:spacing w:before="191"/>
      </w:pPr>
      <w:r>
        <w:t>WHAT ARE THE PRACTICE EXPECTATIONS?</w:t>
      </w:r>
    </w:p>
    <w:p w:rsidR="008401DD" w:rsidRDefault="008401DD" w:rsidP="008401DD">
      <w:pPr>
        <w:pStyle w:val="BodyText"/>
        <w:spacing w:before="207" w:line="247" w:lineRule="auto"/>
        <w:ind w:left="80" w:right="624" w:firstLine="0"/>
      </w:pPr>
      <w:r w:rsidRPr="008401DD">
        <w:t>The long-term goal is to help you</w:t>
      </w:r>
      <w:r w:rsidR="002637B6">
        <w:t>r practice</w:t>
      </w:r>
      <w:r w:rsidRPr="008401DD">
        <w:t xml:space="preserve"> address behavioral health needs </w:t>
      </w:r>
      <w:r w:rsidRPr="008401DD">
        <w:rPr>
          <w:i/>
        </w:rPr>
        <w:t>before</w:t>
      </w:r>
      <w:r w:rsidRPr="008401DD">
        <w:t xml:space="preserve"> families are in crisis. </w:t>
      </w:r>
      <w:r>
        <w:t xml:space="preserve">Practices are asked to: </w:t>
      </w:r>
    </w:p>
    <w:p w:rsidR="008401DD" w:rsidRDefault="00CC2E27" w:rsidP="008401DD">
      <w:pPr>
        <w:pStyle w:val="BodyText"/>
        <w:numPr>
          <w:ilvl w:val="0"/>
          <w:numId w:val="5"/>
        </w:numPr>
        <w:spacing w:before="207" w:line="247" w:lineRule="auto"/>
        <w:ind w:right="624"/>
      </w:pPr>
      <w:r>
        <w:t>Select, implement and report out on 3 out of 5 standardized evidence based screening measures choosing from:</w:t>
      </w:r>
    </w:p>
    <w:p w:rsidR="00CC2E27" w:rsidRDefault="00CC2E27" w:rsidP="00CC2E27">
      <w:pPr>
        <w:pStyle w:val="NoSpacing"/>
        <w:ind w:left="800"/>
      </w:pPr>
      <w:r>
        <w:t>1) Depression-PHQ-A (adolescent);</w:t>
      </w:r>
    </w:p>
    <w:p w:rsidR="00CC2E27" w:rsidRDefault="00CC2E27" w:rsidP="00CC2E27">
      <w:pPr>
        <w:pStyle w:val="NoSpacing"/>
        <w:ind w:left="800"/>
      </w:pPr>
      <w:r>
        <w:t>2) Anxiety: GAD-7 (adolescent)</w:t>
      </w:r>
    </w:p>
    <w:p w:rsidR="00CC2E27" w:rsidRDefault="00CC2E27" w:rsidP="00CC2E27">
      <w:pPr>
        <w:pStyle w:val="NoSpacing"/>
        <w:ind w:left="800"/>
      </w:pPr>
      <w:r>
        <w:t>3) Substance use: CRAFFT or CAGE-AID (adolescent)</w:t>
      </w:r>
    </w:p>
    <w:p w:rsidR="00CC2E27" w:rsidRDefault="00CC2E27" w:rsidP="00CC2E27">
      <w:pPr>
        <w:pStyle w:val="NoSpacing"/>
        <w:ind w:left="800"/>
      </w:pPr>
      <w:r>
        <w:t>4) Middle childhood: Pediatric Symptom Checklist</w:t>
      </w:r>
    </w:p>
    <w:p w:rsidR="005028C2" w:rsidRDefault="00CC2E27" w:rsidP="00CC2E27">
      <w:pPr>
        <w:pStyle w:val="NoSpacing"/>
        <w:ind w:left="800"/>
      </w:pPr>
      <w:r>
        <w:t>5)Postpartum depression: Edinburgh Postnatal Depression Scale</w:t>
      </w:r>
    </w:p>
    <w:p w:rsidR="00CC2E27" w:rsidRDefault="00CC2E27" w:rsidP="00CC2E27">
      <w:pPr>
        <w:pStyle w:val="NoSpacing"/>
        <w:numPr>
          <w:ilvl w:val="0"/>
          <w:numId w:val="5"/>
        </w:numPr>
      </w:pPr>
      <w:r>
        <w:t>Hire and integrate a behavioral health clinician into your practice team</w:t>
      </w:r>
    </w:p>
    <w:p w:rsidR="005028C2" w:rsidRDefault="00B85C66" w:rsidP="00B85C66">
      <w:pPr>
        <w:pStyle w:val="ListParagraph"/>
        <w:numPr>
          <w:ilvl w:val="0"/>
          <w:numId w:val="5"/>
        </w:numPr>
        <w:tabs>
          <w:tab w:val="left" w:pos="640"/>
        </w:tabs>
        <w:spacing w:line="260" w:lineRule="exact"/>
      </w:pPr>
      <w:r>
        <w:t xml:space="preserve">   </w:t>
      </w:r>
      <w:r w:rsidR="00825AEF">
        <w:t xml:space="preserve">Use EMR and data tools to enhance workflows, </w:t>
      </w:r>
      <w:r w:rsidR="00A73105" w:rsidRPr="00A73105">
        <w:t xml:space="preserve">set up registries to track and monitor symptom </w:t>
      </w:r>
      <w:r>
        <w:t xml:space="preserve">  </w:t>
      </w:r>
      <w:r w:rsidR="00A73105" w:rsidRPr="00A73105">
        <w:t>improvement for children/families with positive screens</w:t>
      </w:r>
      <w:r w:rsidR="00825AEF">
        <w:t xml:space="preserve"> and meet reporting</w:t>
      </w:r>
      <w:r w:rsidR="00825AEF" w:rsidRPr="00A73105">
        <w:t xml:space="preserve"> </w:t>
      </w:r>
      <w:r w:rsidR="00825AEF">
        <w:t>requirements;</w:t>
      </w:r>
    </w:p>
    <w:p w:rsidR="005028C2" w:rsidRDefault="00B85C66" w:rsidP="00B85C66">
      <w:pPr>
        <w:pStyle w:val="ListParagraph"/>
        <w:numPr>
          <w:ilvl w:val="0"/>
          <w:numId w:val="5"/>
        </w:numPr>
        <w:tabs>
          <w:tab w:val="left" w:pos="640"/>
        </w:tabs>
        <w:spacing w:before="8" w:line="228" w:lineRule="auto"/>
        <w:ind w:right="355"/>
      </w:pPr>
      <w:r>
        <w:t xml:space="preserve">   Meet monthly with on</w:t>
      </w:r>
      <w:r w:rsidR="00825AEF">
        <w:t xml:space="preserve">-site </w:t>
      </w:r>
      <w:r w:rsidR="00A73105">
        <w:t xml:space="preserve">integrated behavioral health </w:t>
      </w:r>
      <w:r>
        <w:t>practice facilitator who will support your practice in achieving your clinical and financial goals;</w:t>
      </w:r>
    </w:p>
    <w:p w:rsidR="005028C2" w:rsidRDefault="002637B6" w:rsidP="002637B6">
      <w:pPr>
        <w:pStyle w:val="ListParagraph"/>
        <w:numPr>
          <w:ilvl w:val="0"/>
          <w:numId w:val="5"/>
        </w:numPr>
        <w:tabs>
          <w:tab w:val="left" w:pos="640"/>
        </w:tabs>
        <w:spacing w:before="10" w:line="266" w:lineRule="exact"/>
      </w:pPr>
      <w:r>
        <w:t xml:space="preserve">   Learn from your peers and content experts by participating</w:t>
      </w:r>
      <w:r w:rsidR="00825AEF">
        <w:t xml:space="preserve"> in</w:t>
      </w:r>
      <w:r w:rsidR="00B85C66">
        <w:t xml:space="preserve"> quarterly learning collaborative meetings </w:t>
      </w:r>
    </w:p>
    <w:p w:rsidR="005028C2" w:rsidRDefault="00815597" w:rsidP="00815597">
      <w:pPr>
        <w:pStyle w:val="BodyText"/>
        <w:tabs>
          <w:tab w:val="left" w:pos="6840"/>
          <w:tab w:val="left" w:pos="7020"/>
        </w:tabs>
        <w:spacing w:before="197" w:line="228" w:lineRule="auto"/>
        <w:ind w:left="100" w:right="41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09367" wp14:editId="312390CA">
                <wp:simplePos x="0" y="0"/>
                <wp:positionH relativeFrom="page">
                  <wp:posOffset>4648200</wp:posOffset>
                </wp:positionH>
                <wp:positionV relativeFrom="paragraph">
                  <wp:posOffset>45085</wp:posOffset>
                </wp:positionV>
                <wp:extent cx="2889250" cy="182880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828800"/>
                        </a:xfrm>
                        <a:prstGeom prst="rect">
                          <a:avLst/>
                        </a:prstGeom>
                        <a:solidFill>
                          <a:srgbClr val="F9AD1B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C6" w:rsidRPr="005B36C6" w:rsidRDefault="00825AEF" w:rsidP="005B36C6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B36C6">
                              <w:rPr>
                                <w:b/>
                                <w:sz w:val="28"/>
                              </w:rPr>
                              <w:t>Application deadline:</w:t>
                            </w:r>
                          </w:p>
                          <w:p w:rsidR="005028C2" w:rsidRPr="005B36C6" w:rsidRDefault="001A7DDE" w:rsidP="005B36C6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B36C6">
                              <w:rPr>
                                <w:b/>
                                <w:sz w:val="28"/>
                              </w:rPr>
                              <w:t>June 19</w:t>
                            </w:r>
                            <w:r w:rsidR="00825AEF" w:rsidRPr="005B36C6">
                              <w:rPr>
                                <w:b/>
                                <w:sz w:val="28"/>
                              </w:rPr>
                              <w:t>, 201</w:t>
                            </w:r>
                            <w:r w:rsidRPr="005B36C6">
                              <w:rPr>
                                <w:b/>
                                <w:sz w:val="28"/>
                              </w:rPr>
                              <w:t>9</w:t>
                            </w:r>
                          </w:p>
                          <w:p w:rsidR="00815597" w:rsidRPr="005B36C6" w:rsidRDefault="00B85C66">
                            <w:pPr>
                              <w:spacing w:before="101" w:line="254" w:lineRule="auto"/>
                              <w:ind w:left="114" w:right="1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B36C6">
                              <w:rPr>
                                <w:b/>
                                <w:sz w:val="24"/>
                              </w:rPr>
                              <w:t>Link to application:</w:t>
                            </w:r>
                          </w:p>
                          <w:p w:rsidR="00B85C66" w:rsidRPr="00815597" w:rsidRDefault="00EB251D">
                            <w:pPr>
                              <w:spacing w:before="101" w:line="254" w:lineRule="auto"/>
                              <w:ind w:left="114" w:right="10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hyperlink r:id="rId7" w:history="1">
                              <w:r w:rsidRPr="00AB1A96">
                                <w:rPr>
                                  <w:rStyle w:val="Hyperlink"/>
                                  <w:b/>
                                  <w:sz w:val="20"/>
                                </w:rPr>
                                <w:t>https://www.ctc-ri.org/sites/default/files/uploads/IBH%20application%20RIF%20Pediatric%20Call%20for%20Applications%20v6.docx</w:t>
                              </w:r>
                            </w:hyperlink>
                            <w:r w:rsidR="00B85C66" w:rsidRPr="00815597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815597"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:rsidR="00B85C66" w:rsidRPr="005B36C6" w:rsidRDefault="00B85C66" w:rsidP="00B85C66">
                            <w:pPr>
                              <w:spacing w:line="237" w:lineRule="auto"/>
                              <w:ind w:right="389"/>
                              <w:rPr>
                                <w:sz w:val="16"/>
                              </w:rPr>
                            </w:pPr>
                          </w:p>
                          <w:p w:rsidR="00815597" w:rsidRDefault="005B36C6" w:rsidP="00815597">
                            <w:pPr>
                              <w:spacing w:line="237" w:lineRule="auto"/>
                              <w:ind w:right="389"/>
                              <w:jc w:val="center"/>
                            </w:pPr>
                            <w:r>
                              <w:t>For more information</w:t>
                            </w:r>
                            <w:r w:rsidR="00B85C66">
                              <w:t xml:space="preserve">: </w:t>
                            </w:r>
                          </w:p>
                          <w:p w:rsidR="005028C2" w:rsidRDefault="00B85C66" w:rsidP="00815597">
                            <w:pPr>
                              <w:spacing w:line="237" w:lineRule="auto"/>
                              <w:ind w:right="38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t xml:space="preserve">contact: </w:t>
                            </w:r>
                            <w:hyperlink r:id="rId8" w:history="1">
                              <w:r w:rsidR="00E047B6" w:rsidRPr="00E53798">
                                <w:rPr>
                                  <w:rStyle w:val="Hyperlink"/>
                                  <w:sz w:val="21"/>
                                </w:rPr>
                                <w:t>CTC-RI@ctc-ri.org</w:t>
                              </w:r>
                            </w:hyperlink>
                            <w:r w:rsidR="00825AEF"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093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66pt;margin-top:3.55pt;width:227.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" fillcolor="#f9ad1b" strokeweight=".5pt">
                <v:textbox inset="0,0,0,0">
                  <w:txbxContent>
                    <w:p w:rsidR="005B36C6" w:rsidRPr="005B36C6" w:rsidRDefault="00825AEF" w:rsidP="005B36C6">
                      <w:pPr>
                        <w:pStyle w:val="NoSpacing"/>
                        <w:jc w:val="center"/>
                        <w:rPr>
                          <w:b/>
                          <w:sz w:val="28"/>
                        </w:rPr>
                      </w:pPr>
                      <w:r w:rsidRPr="005B36C6">
                        <w:rPr>
                          <w:b/>
                          <w:sz w:val="28"/>
                        </w:rPr>
                        <w:t>Application deadline:</w:t>
                      </w:r>
                    </w:p>
                    <w:p w:rsidR="005028C2" w:rsidRPr="005B36C6" w:rsidRDefault="001A7DDE" w:rsidP="005B36C6">
                      <w:pPr>
                        <w:pStyle w:val="NoSpacing"/>
                        <w:jc w:val="center"/>
                        <w:rPr>
                          <w:b/>
                          <w:sz w:val="28"/>
                        </w:rPr>
                      </w:pPr>
                      <w:r w:rsidRPr="005B36C6">
                        <w:rPr>
                          <w:b/>
                          <w:sz w:val="28"/>
                        </w:rPr>
                        <w:t>June 19</w:t>
                      </w:r>
                      <w:r w:rsidR="00825AEF" w:rsidRPr="005B36C6">
                        <w:rPr>
                          <w:b/>
                          <w:sz w:val="28"/>
                        </w:rPr>
                        <w:t>, 201</w:t>
                      </w:r>
                      <w:r w:rsidRPr="005B36C6">
                        <w:rPr>
                          <w:b/>
                          <w:sz w:val="28"/>
                        </w:rPr>
                        <w:t>9</w:t>
                      </w:r>
                    </w:p>
                    <w:p w:rsidR="00815597" w:rsidRPr="005B36C6" w:rsidRDefault="00B85C66">
                      <w:pPr>
                        <w:spacing w:before="101" w:line="254" w:lineRule="auto"/>
                        <w:ind w:left="114" w:right="108"/>
                        <w:jc w:val="center"/>
                        <w:rPr>
                          <w:b/>
                          <w:sz w:val="24"/>
                        </w:rPr>
                      </w:pPr>
                      <w:r w:rsidRPr="005B36C6">
                        <w:rPr>
                          <w:b/>
                          <w:sz w:val="24"/>
                        </w:rPr>
                        <w:t>Link to application:</w:t>
                      </w:r>
                    </w:p>
                    <w:p w:rsidR="00B85C66" w:rsidRPr="00815597" w:rsidRDefault="00EB251D">
                      <w:pPr>
                        <w:spacing w:before="101" w:line="254" w:lineRule="auto"/>
                        <w:ind w:left="114" w:right="108"/>
                        <w:jc w:val="center"/>
                        <w:rPr>
                          <w:b/>
                          <w:sz w:val="20"/>
                        </w:rPr>
                      </w:pPr>
                      <w:hyperlink r:id="rId9" w:history="1">
                        <w:r w:rsidRPr="00AB1A96">
                          <w:rPr>
                            <w:rStyle w:val="Hyperlink"/>
                            <w:b/>
                            <w:sz w:val="20"/>
                          </w:rPr>
                          <w:t>https://www.ctc-ri.org/sites/default/files/uploads/IBH%20application%20RIF%20Pediatric%20Call%20for%20Applications%20v6.docx</w:t>
                        </w:r>
                      </w:hyperlink>
                      <w:r w:rsidR="00B85C66" w:rsidRPr="00815597">
                        <w:rPr>
                          <w:b/>
                          <w:sz w:val="20"/>
                        </w:rPr>
                        <w:t xml:space="preserve"> </w:t>
                      </w:r>
                      <w:r w:rsidR="00815597">
                        <w:rPr>
                          <w:b/>
                          <w:sz w:val="20"/>
                        </w:rPr>
                        <w:tab/>
                      </w:r>
                    </w:p>
                    <w:p w:rsidR="00B85C66" w:rsidRPr="005B36C6" w:rsidRDefault="00B85C66" w:rsidP="00B85C66">
                      <w:pPr>
                        <w:spacing w:line="237" w:lineRule="auto"/>
                        <w:ind w:right="389"/>
                        <w:rPr>
                          <w:sz w:val="16"/>
                        </w:rPr>
                      </w:pPr>
                    </w:p>
                    <w:p w:rsidR="00815597" w:rsidRDefault="005B36C6" w:rsidP="00815597">
                      <w:pPr>
                        <w:spacing w:line="237" w:lineRule="auto"/>
                        <w:ind w:right="389"/>
                        <w:jc w:val="center"/>
                      </w:pPr>
                      <w:r>
                        <w:t>For more information</w:t>
                      </w:r>
                      <w:r w:rsidR="00B85C66">
                        <w:t xml:space="preserve">: </w:t>
                      </w:r>
                    </w:p>
                    <w:p w:rsidR="005028C2" w:rsidRDefault="00B85C66" w:rsidP="00815597">
                      <w:pPr>
                        <w:spacing w:line="237" w:lineRule="auto"/>
                        <w:ind w:right="389"/>
                        <w:jc w:val="center"/>
                        <w:rPr>
                          <w:sz w:val="21"/>
                        </w:rPr>
                      </w:pPr>
                      <w:r>
                        <w:t xml:space="preserve">contact: </w:t>
                      </w:r>
                      <w:hyperlink r:id="rId10" w:history="1">
                        <w:r w:rsidR="00E047B6" w:rsidRPr="00E53798">
                          <w:rPr>
                            <w:rStyle w:val="Hyperlink"/>
                            <w:sz w:val="21"/>
                          </w:rPr>
                          <w:t>CTC-RI@ctc-ri.org</w:t>
                        </w:r>
                      </w:hyperlink>
                      <w:r w:rsidR="00825AEF"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6AB4">
        <w:t>“</w:t>
      </w:r>
      <w:r w:rsidR="001A7DDE" w:rsidRPr="001A7DDE">
        <w:t xml:space="preserve">This initiative recognizes and capitalizes on the fact that </w:t>
      </w:r>
      <w:r w:rsidR="00356AB4">
        <w:t>pediatric medical home</w:t>
      </w:r>
      <w:r w:rsidR="001A7DDE" w:rsidRPr="001A7DDE">
        <w:t xml:space="preserve"> is the logical </w:t>
      </w:r>
      <w:r w:rsidR="00356AB4">
        <w:t>place</w:t>
      </w:r>
      <w:r w:rsidR="001A7DDE" w:rsidRPr="001A7DDE">
        <w:t xml:space="preserve"> for providing effective </w:t>
      </w:r>
      <w:r w:rsidR="00356AB4">
        <w:t xml:space="preserve">integrated </w:t>
      </w:r>
      <w:r w:rsidR="001A7DDE" w:rsidRPr="001A7DDE">
        <w:t>mental health promotion</w:t>
      </w:r>
      <w:r w:rsidR="00356AB4">
        <w:t xml:space="preserve">, </w:t>
      </w:r>
      <w:r w:rsidR="001A7DDE" w:rsidRPr="001A7DDE">
        <w:t xml:space="preserve">prevention </w:t>
      </w:r>
      <w:r w:rsidR="00356AB4">
        <w:t xml:space="preserve">and treatment </w:t>
      </w:r>
      <w:r w:rsidR="001A7DDE" w:rsidRPr="001A7DDE">
        <w:t>because the pediatrician is the most likely medical professional that children and adolescents come in contact with during their early and adolescent years</w:t>
      </w:r>
      <w:r w:rsidR="00356AB4">
        <w:t xml:space="preserve"> and because for children, behavior and development are so much a part of their general health</w:t>
      </w:r>
      <w:r w:rsidR="001A7DDE" w:rsidRPr="001A7DDE">
        <w:t>.</w:t>
      </w:r>
      <w:r w:rsidR="00356AB4">
        <w:t>”</w:t>
      </w:r>
      <w:bookmarkStart w:id="0" w:name="_GoBack"/>
      <w:bookmarkEnd w:id="0"/>
    </w:p>
    <w:p w:rsidR="00356AB4" w:rsidRDefault="00C72BB9" w:rsidP="005B36C6">
      <w:pPr>
        <w:pStyle w:val="BodyText"/>
        <w:tabs>
          <w:tab w:val="left" w:pos="7200"/>
        </w:tabs>
        <w:spacing w:before="197" w:line="228" w:lineRule="auto"/>
        <w:ind w:left="100" w:right="4500" w:firstLine="0"/>
        <w:jc w:val="right"/>
      </w:pPr>
      <w:r>
        <w:t>- Pat Flanagan, MD, FAAP, PCMH-Kids Co-chair</w:t>
      </w:r>
    </w:p>
    <w:sectPr w:rsidR="00356AB4">
      <w:type w:val="continuous"/>
      <w:pgSz w:w="12240" w:h="15840"/>
      <w:pgMar w:top="3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1B98"/>
    <w:multiLevelType w:val="hybridMultilevel"/>
    <w:tmpl w:val="C2B6482A"/>
    <w:lvl w:ilvl="0" w:tplc="DFECEF46">
      <w:numFmt w:val="bullet"/>
      <w:lvlText w:val="•"/>
      <w:lvlJc w:val="left"/>
      <w:pPr>
        <w:ind w:left="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42DF3245"/>
    <w:multiLevelType w:val="hybridMultilevel"/>
    <w:tmpl w:val="7C1CE176"/>
    <w:lvl w:ilvl="0" w:tplc="BA968666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FFA4ACB"/>
    <w:multiLevelType w:val="hybridMultilevel"/>
    <w:tmpl w:val="3F589622"/>
    <w:lvl w:ilvl="0" w:tplc="0409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69896ED2"/>
    <w:multiLevelType w:val="hybridMultilevel"/>
    <w:tmpl w:val="857E9E06"/>
    <w:lvl w:ilvl="0" w:tplc="C0DADB88">
      <w:numFmt w:val="bullet"/>
      <w:lvlText w:val="•"/>
      <w:lvlJc w:val="left"/>
      <w:pPr>
        <w:ind w:left="800" w:hanging="180"/>
      </w:pPr>
      <w:rPr>
        <w:rFonts w:ascii="Arial" w:eastAsia="Arial" w:hAnsi="Arial" w:cs="Arial" w:hint="default"/>
        <w:color w:val="FFFFFF"/>
        <w:spacing w:val="-21"/>
        <w:w w:val="100"/>
        <w:position w:val="-1"/>
        <w:sz w:val="22"/>
        <w:szCs w:val="22"/>
      </w:rPr>
    </w:lvl>
    <w:lvl w:ilvl="1" w:tplc="6DF49468">
      <w:numFmt w:val="bullet"/>
      <w:lvlText w:val="•"/>
      <w:lvlJc w:val="left"/>
      <w:pPr>
        <w:ind w:left="1800" w:hanging="180"/>
      </w:pPr>
      <w:rPr>
        <w:rFonts w:hint="default"/>
      </w:rPr>
    </w:lvl>
    <w:lvl w:ilvl="2" w:tplc="E26ABE5C">
      <w:numFmt w:val="bullet"/>
      <w:lvlText w:val="•"/>
      <w:lvlJc w:val="left"/>
      <w:pPr>
        <w:ind w:left="2800" w:hanging="180"/>
      </w:pPr>
      <w:rPr>
        <w:rFonts w:hint="default"/>
      </w:rPr>
    </w:lvl>
    <w:lvl w:ilvl="3" w:tplc="865E3C44">
      <w:numFmt w:val="bullet"/>
      <w:lvlText w:val="•"/>
      <w:lvlJc w:val="left"/>
      <w:pPr>
        <w:ind w:left="3800" w:hanging="180"/>
      </w:pPr>
      <w:rPr>
        <w:rFonts w:hint="default"/>
      </w:rPr>
    </w:lvl>
    <w:lvl w:ilvl="4" w:tplc="46FC844C">
      <w:numFmt w:val="bullet"/>
      <w:lvlText w:val="•"/>
      <w:lvlJc w:val="left"/>
      <w:pPr>
        <w:ind w:left="4800" w:hanging="180"/>
      </w:pPr>
      <w:rPr>
        <w:rFonts w:hint="default"/>
      </w:rPr>
    </w:lvl>
    <w:lvl w:ilvl="5" w:tplc="C5201A3C">
      <w:numFmt w:val="bullet"/>
      <w:lvlText w:val="•"/>
      <w:lvlJc w:val="left"/>
      <w:pPr>
        <w:ind w:left="5800" w:hanging="180"/>
      </w:pPr>
      <w:rPr>
        <w:rFonts w:hint="default"/>
      </w:rPr>
    </w:lvl>
    <w:lvl w:ilvl="6" w:tplc="E58CBB80">
      <w:numFmt w:val="bullet"/>
      <w:lvlText w:val="•"/>
      <w:lvlJc w:val="left"/>
      <w:pPr>
        <w:ind w:left="6800" w:hanging="180"/>
      </w:pPr>
      <w:rPr>
        <w:rFonts w:hint="default"/>
      </w:rPr>
    </w:lvl>
    <w:lvl w:ilvl="7" w:tplc="C0204170">
      <w:numFmt w:val="bullet"/>
      <w:lvlText w:val="•"/>
      <w:lvlJc w:val="left"/>
      <w:pPr>
        <w:ind w:left="7800" w:hanging="180"/>
      </w:pPr>
      <w:rPr>
        <w:rFonts w:hint="default"/>
      </w:rPr>
    </w:lvl>
    <w:lvl w:ilvl="8" w:tplc="E3D0609C">
      <w:numFmt w:val="bullet"/>
      <w:lvlText w:val="•"/>
      <w:lvlJc w:val="left"/>
      <w:pPr>
        <w:ind w:left="8800" w:hanging="180"/>
      </w:pPr>
      <w:rPr>
        <w:rFonts w:hint="default"/>
      </w:rPr>
    </w:lvl>
  </w:abstractNum>
  <w:abstractNum w:abstractNumId="4" w15:restartNumberingAfterBreak="0">
    <w:nsid w:val="78F52C25"/>
    <w:multiLevelType w:val="hybridMultilevel"/>
    <w:tmpl w:val="7AFEFAD4"/>
    <w:lvl w:ilvl="0" w:tplc="20EC75C8">
      <w:numFmt w:val="bullet"/>
      <w:lvlText w:val="•"/>
      <w:lvlJc w:val="left"/>
      <w:pPr>
        <w:ind w:left="820" w:hanging="180"/>
      </w:pPr>
      <w:rPr>
        <w:rFonts w:ascii="Arial" w:eastAsia="Arial" w:hAnsi="Arial" w:cs="Arial" w:hint="default"/>
        <w:spacing w:val="-20"/>
        <w:w w:val="100"/>
        <w:position w:val="-1"/>
        <w:sz w:val="22"/>
        <w:szCs w:val="22"/>
      </w:rPr>
    </w:lvl>
    <w:lvl w:ilvl="1" w:tplc="DFECEF46">
      <w:numFmt w:val="bullet"/>
      <w:lvlText w:val="•"/>
      <w:lvlJc w:val="left"/>
      <w:pPr>
        <w:ind w:left="1872" w:hanging="180"/>
      </w:pPr>
      <w:rPr>
        <w:rFonts w:hint="default"/>
      </w:rPr>
    </w:lvl>
    <w:lvl w:ilvl="2" w:tplc="E570B30E">
      <w:numFmt w:val="bullet"/>
      <w:lvlText w:val="•"/>
      <w:lvlJc w:val="left"/>
      <w:pPr>
        <w:ind w:left="2924" w:hanging="180"/>
      </w:pPr>
      <w:rPr>
        <w:rFonts w:hint="default"/>
      </w:rPr>
    </w:lvl>
    <w:lvl w:ilvl="3" w:tplc="B78CE578">
      <w:numFmt w:val="bullet"/>
      <w:lvlText w:val="•"/>
      <w:lvlJc w:val="left"/>
      <w:pPr>
        <w:ind w:left="3976" w:hanging="180"/>
      </w:pPr>
      <w:rPr>
        <w:rFonts w:hint="default"/>
      </w:rPr>
    </w:lvl>
    <w:lvl w:ilvl="4" w:tplc="ACC23934">
      <w:numFmt w:val="bullet"/>
      <w:lvlText w:val="•"/>
      <w:lvlJc w:val="left"/>
      <w:pPr>
        <w:ind w:left="5028" w:hanging="180"/>
      </w:pPr>
      <w:rPr>
        <w:rFonts w:hint="default"/>
      </w:rPr>
    </w:lvl>
    <w:lvl w:ilvl="5" w:tplc="CD4EE056">
      <w:numFmt w:val="bullet"/>
      <w:lvlText w:val="•"/>
      <w:lvlJc w:val="left"/>
      <w:pPr>
        <w:ind w:left="6080" w:hanging="180"/>
      </w:pPr>
      <w:rPr>
        <w:rFonts w:hint="default"/>
      </w:rPr>
    </w:lvl>
    <w:lvl w:ilvl="6" w:tplc="D6CA9E48">
      <w:numFmt w:val="bullet"/>
      <w:lvlText w:val="•"/>
      <w:lvlJc w:val="left"/>
      <w:pPr>
        <w:ind w:left="7132" w:hanging="180"/>
      </w:pPr>
      <w:rPr>
        <w:rFonts w:hint="default"/>
      </w:rPr>
    </w:lvl>
    <w:lvl w:ilvl="7" w:tplc="CD20C802">
      <w:numFmt w:val="bullet"/>
      <w:lvlText w:val="•"/>
      <w:lvlJc w:val="left"/>
      <w:pPr>
        <w:ind w:left="8184" w:hanging="180"/>
      </w:pPr>
      <w:rPr>
        <w:rFonts w:hint="default"/>
      </w:rPr>
    </w:lvl>
    <w:lvl w:ilvl="8" w:tplc="ACC8E5BA">
      <w:numFmt w:val="bullet"/>
      <w:lvlText w:val="•"/>
      <w:lvlJc w:val="left"/>
      <w:pPr>
        <w:ind w:left="9236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C2"/>
    <w:rsid w:val="00077370"/>
    <w:rsid w:val="001A7DDE"/>
    <w:rsid w:val="00204C20"/>
    <w:rsid w:val="002637B6"/>
    <w:rsid w:val="00356AB4"/>
    <w:rsid w:val="004A6F91"/>
    <w:rsid w:val="005028C2"/>
    <w:rsid w:val="005B36C6"/>
    <w:rsid w:val="00606BAF"/>
    <w:rsid w:val="00622C72"/>
    <w:rsid w:val="0074236D"/>
    <w:rsid w:val="00815597"/>
    <w:rsid w:val="00824267"/>
    <w:rsid w:val="00825AEF"/>
    <w:rsid w:val="008401DD"/>
    <w:rsid w:val="008753C8"/>
    <w:rsid w:val="008A0BE2"/>
    <w:rsid w:val="008E6616"/>
    <w:rsid w:val="00A73105"/>
    <w:rsid w:val="00B85C66"/>
    <w:rsid w:val="00C305F6"/>
    <w:rsid w:val="00C72BB9"/>
    <w:rsid w:val="00CC2E27"/>
    <w:rsid w:val="00CD6501"/>
    <w:rsid w:val="00E047B6"/>
    <w:rsid w:val="00E96043"/>
    <w:rsid w:val="00E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63C3"/>
  <w15:docId w15:val="{F7BCCD73-B9DD-4F7A-A62C-2C3B48B8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98" w:lineRule="exact"/>
      <w:ind w:left="1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 w:hanging="180"/>
    </w:pPr>
  </w:style>
  <w:style w:type="paragraph" w:styleId="ListParagraph">
    <w:name w:val="List Paragraph"/>
    <w:basedOn w:val="Normal"/>
    <w:uiPriority w:val="1"/>
    <w:qFormat/>
    <w:pPr>
      <w:ind w:left="640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47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47B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2E2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85C6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1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C-RI@ctc-ri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tc-ri.org/sites/default/files/uploads/IBH%20application%20RIF%20Pediatric%20Call%20for%20Applications%20v6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TC-RI@ctc-r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tc-ri.org/sites/default/files/uploads/IBH%20application%20RIF%20Pediatric%20Call%20for%20Applications%20v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C782-0B0F-4C93-A87B-1F9333FE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2017 - CTC adult expansion flyer v1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2017 - CTC adult expansion flyer v1</dc:title>
  <dc:creator>Susanne Campbell</dc:creator>
  <cp:lastModifiedBy>Carolyn Karner</cp:lastModifiedBy>
  <cp:revision>4</cp:revision>
  <cp:lastPrinted>2019-05-30T17:13:00Z</cp:lastPrinted>
  <dcterms:created xsi:type="dcterms:W3CDTF">2019-05-30T17:13:00Z</dcterms:created>
  <dcterms:modified xsi:type="dcterms:W3CDTF">2019-06-05T13:58:00Z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Pages</vt:lpwstr>
  </property>
  <property fmtid="{D5CDD505-2E9C-101B-9397-08002B2CF9AE}" pid="4" name="LastSaved">
    <vt:filetime>2019-05-23T00:00:00Z</vt:filetime>
  </property>
</Properties>
</file>