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794C" w14:textId="66F13059" w:rsidR="005F4D0B" w:rsidRPr="00FB7C25" w:rsidRDefault="005F4D0B" w:rsidP="00680786">
      <w:pPr>
        <w:pStyle w:val="Heading1"/>
        <w:spacing w:before="120" w:after="12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B7C25">
        <w:rPr>
          <w:sz w:val="20"/>
          <w:szCs w:val="20"/>
        </w:rPr>
        <w:t xml:space="preserve">ATTACHMENT B: </w:t>
      </w:r>
    </w:p>
    <w:p w14:paraId="3120038D" w14:textId="26702075" w:rsidR="00ED0E00" w:rsidRPr="00FB7C25" w:rsidRDefault="00D96F2B" w:rsidP="00680786">
      <w:pPr>
        <w:pStyle w:val="Heading1"/>
        <w:spacing w:before="120" w:after="120" w:line="240" w:lineRule="auto"/>
        <w:jc w:val="center"/>
        <w:rPr>
          <w:sz w:val="20"/>
          <w:szCs w:val="20"/>
        </w:rPr>
      </w:pPr>
      <w:r w:rsidRPr="00FB7C25">
        <w:rPr>
          <w:sz w:val="20"/>
          <w:szCs w:val="20"/>
        </w:rPr>
        <w:t xml:space="preserve">Pediatric </w:t>
      </w:r>
      <w:r w:rsidR="004A5FFA" w:rsidRPr="00FB7C25">
        <w:rPr>
          <w:sz w:val="20"/>
          <w:szCs w:val="20"/>
        </w:rPr>
        <w:t xml:space="preserve">Integrated Behavioral Health </w:t>
      </w:r>
      <w:r w:rsidR="0013402C" w:rsidRPr="00FB7C25">
        <w:rPr>
          <w:sz w:val="20"/>
          <w:szCs w:val="20"/>
        </w:rPr>
        <w:t>Milestones Summary</w:t>
      </w:r>
      <w:r w:rsidR="00354A58" w:rsidRPr="00FB7C25">
        <w:rPr>
          <w:sz w:val="20"/>
          <w:szCs w:val="20"/>
        </w:rPr>
        <w:t xml:space="preserve"> </w:t>
      </w:r>
    </w:p>
    <w:tbl>
      <w:tblPr>
        <w:tblStyle w:val="TableGrid"/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4410"/>
        <w:gridCol w:w="4410"/>
        <w:gridCol w:w="1440"/>
      </w:tblGrid>
      <w:tr w:rsidR="006E088B" w:rsidRPr="00FB7C25" w14:paraId="3AC1585D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AF19B4C" w14:textId="77777777" w:rsidR="006E088B" w:rsidRPr="00FB7C25" w:rsidRDefault="006E088B" w:rsidP="005A0C67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B8CCE4" w:themeFill="accent1" w:themeFillTint="66"/>
          </w:tcPr>
          <w:p w14:paraId="31DF9E22" w14:textId="76515C34" w:rsidR="006E088B" w:rsidRPr="00FB7C25" w:rsidRDefault="006E088B" w:rsidP="006E088B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Cohort 1</w:t>
            </w:r>
            <w:r w:rsidR="00B07E5C"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 xml:space="preserve"> (July 2019-June 30, 2021)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255A79AC" w14:textId="477BEC33" w:rsidR="006E088B" w:rsidRPr="00FB7C25" w:rsidRDefault="006E088B" w:rsidP="003A4BD6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Cohort 2</w:t>
            </w:r>
            <w:r w:rsidR="00B07E5C"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 xml:space="preserve"> (April 1, 2020-March 31, 2022)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6AC24AED" w14:textId="79C48BE4" w:rsidR="006E088B" w:rsidRPr="00FB7C25" w:rsidRDefault="006E088B" w:rsidP="006E088B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Note</w:t>
            </w:r>
          </w:p>
        </w:tc>
      </w:tr>
      <w:tr w:rsidR="003A4BD6" w:rsidRPr="00FB7C25" w14:paraId="20C2C4C3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1EAC283" w14:textId="41E42B0F" w:rsidR="003A4BD6" w:rsidRPr="00FB7C25" w:rsidRDefault="003A4BD6" w:rsidP="003A4BD6">
            <w:pPr>
              <w:jc w:val="center"/>
              <w:rPr>
                <w:b/>
                <w:i/>
                <w:sz w:val="20"/>
                <w:szCs w:val="20"/>
              </w:rPr>
            </w:pPr>
            <w:r w:rsidRPr="00FB7C25">
              <w:rPr>
                <w:b/>
                <w:i/>
                <w:sz w:val="20"/>
                <w:szCs w:val="20"/>
              </w:rPr>
              <w:t>Performance Year 1</w:t>
            </w:r>
          </w:p>
        </w:tc>
        <w:tc>
          <w:tcPr>
            <w:tcW w:w="4410" w:type="dxa"/>
          </w:tcPr>
          <w:p w14:paraId="2634C254" w14:textId="77777777" w:rsidR="003A4BD6" w:rsidRPr="00FB7C25" w:rsidRDefault="003A4BD6" w:rsidP="003A4BD6">
            <w:pPr>
              <w:jc w:val="center"/>
              <w:rPr>
                <w:rFonts w:eastAsiaTheme="majorEastAsia" w:cstheme="majorBidi"/>
                <w:bCs/>
                <w:i/>
                <w:sz w:val="20"/>
                <w:szCs w:val="20"/>
              </w:rPr>
            </w:pPr>
          </w:p>
        </w:tc>
        <w:tc>
          <w:tcPr>
            <w:tcW w:w="4410" w:type="dxa"/>
          </w:tcPr>
          <w:p w14:paraId="510FE6D6" w14:textId="77777777" w:rsidR="003A4BD6" w:rsidRPr="00FB7C25" w:rsidRDefault="003A4BD6" w:rsidP="003A4BD6">
            <w:pPr>
              <w:jc w:val="center"/>
              <w:rPr>
                <w:rFonts w:eastAsiaTheme="majorEastAsia" w:cstheme="majorBidi"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1773CF" w14:textId="77777777" w:rsidR="003A4BD6" w:rsidRPr="00FB7C25" w:rsidRDefault="003A4BD6" w:rsidP="003A4BD6">
            <w:pPr>
              <w:jc w:val="center"/>
              <w:rPr>
                <w:rFonts w:eastAsiaTheme="majorEastAsia" w:cstheme="majorBidi"/>
                <w:b/>
                <w:bCs/>
                <w:i/>
                <w:sz w:val="20"/>
                <w:szCs w:val="20"/>
              </w:rPr>
            </w:pPr>
          </w:p>
        </w:tc>
      </w:tr>
      <w:tr w:rsidR="00A71FDE" w:rsidRPr="00FB7C25" w14:paraId="0EFD86D2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1685A54" w14:textId="7DC5CB62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Develop a staffing plan for patients to be able to access BH assessment/treatment with same day to 48-hour access and post behavioral health clinician position if not already in place;</w:t>
            </w:r>
          </w:p>
        </w:tc>
        <w:tc>
          <w:tcPr>
            <w:tcW w:w="4410" w:type="dxa"/>
          </w:tcPr>
          <w:p w14:paraId="7A148E8D" w14:textId="08D16F0B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Staffing plan</w:t>
            </w:r>
          </w:p>
          <w:p w14:paraId="5B5E165D" w14:textId="58C3E994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no later than Sept 1, 2019</w:t>
            </w:r>
          </w:p>
        </w:tc>
        <w:tc>
          <w:tcPr>
            <w:tcW w:w="4410" w:type="dxa"/>
          </w:tcPr>
          <w:p w14:paraId="3360A3DE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Staffing plan</w:t>
            </w:r>
          </w:p>
          <w:p w14:paraId="19BB28C7" w14:textId="78D5A9D5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no later than June 1, 2020</w:t>
            </w:r>
          </w:p>
        </w:tc>
        <w:tc>
          <w:tcPr>
            <w:tcW w:w="1440" w:type="dxa"/>
          </w:tcPr>
          <w:p w14:paraId="0B19FC2D" w14:textId="1AFA91E1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438CE36C" w14:textId="18B96ED8" w:rsidR="00A71FDE" w:rsidRPr="00FB7C25" w:rsidRDefault="00D26E32" w:rsidP="00014CE1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hyperlink r:id="rId8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3C408012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FFDAAEC" w14:textId="369B8376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Identify mechanisms within the electronic health record for being able to capture and report screening rates; Baseline Report for screening for psychosocial functioning (middle childhood); depression, anxiety and substance use (adolescents); post-partum depression (new mothers) – 1 year lookback (select 3 out of 5)</w:t>
            </w:r>
          </w:p>
        </w:tc>
        <w:tc>
          <w:tcPr>
            <w:tcW w:w="4410" w:type="dxa"/>
          </w:tcPr>
          <w:p w14:paraId="08C37857" w14:textId="27CC979E" w:rsidR="00A71FDE" w:rsidRPr="00FB7C25" w:rsidRDefault="00AC7DFA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 xml:space="preserve">Baseline: 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</w:rPr>
              <w:t xml:space="preserve">July 1, 2018-June 30, 2019 </w:t>
            </w:r>
          </w:p>
          <w:p w14:paraId="41931107" w14:textId="267F37B0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Sept 1, 2019</w:t>
            </w:r>
          </w:p>
        </w:tc>
        <w:tc>
          <w:tcPr>
            <w:tcW w:w="4410" w:type="dxa"/>
          </w:tcPr>
          <w:p w14:paraId="6107AF42" w14:textId="5C8FC668" w:rsidR="00A71FDE" w:rsidRPr="00FB7C25" w:rsidRDefault="00AC7DFA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Baseline: Apr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</w:rPr>
              <w:t xml:space="preserve"> 1, 201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9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</w:rPr>
              <w:t>-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Mar 31, 2020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</w:rPr>
              <w:t xml:space="preserve"> </w:t>
            </w:r>
          </w:p>
          <w:p w14:paraId="016D94E6" w14:textId="35FDB4C9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June 1, 2020</w:t>
            </w:r>
          </w:p>
        </w:tc>
        <w:tc>
          <w:tcPr>
            <w:tcW w:w="1440" w:type="dxa"/>
          </w:tcPr>
          <w:p w14:paraId="05D1CE08" w14:textId="3C180B12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42010598" w14:textId="0E92CD31" w:rsidR="00A71FDE" w:rsidRPr="00FB7C25" w:rsidRDefault="00D26E32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hyperlink r:id="rId9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27F246B3" w14:textId="77777777" w:rsidTr="006514D9">
        <w:trPr>
          <w:trHeight w:val="2204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D9C800B" w14:textId="64454824" w:rsidR="00A71FDE" w:rsidRPr="00FB7C25" w:rsidRDefault="00A71FDE" w:rsidP="00014CE1">
            <w:pPr>
              <w:pStyle w:val="NoSpacing"/>
              <w:rPr>
                <w:sz w:val="20"/>
                <w:szCs w:val="20"/>
                <w:u w:val="single"/>
              </w:rPr>
            </w:pPr>
            <w:r w:rsidRPr="00FB7C25">
              <w:rPr>
                <w:b/>
                <w:sz w:val="20"/>
                <w:szCs w:val="20"/>
              </w:rPr>
              <w:t>Hire BH Staff if not already in place; .5 FTE minimum; with staff ready to see patients within 4 months of award</w:t>
            </w:r>
            <w:r w:rsidR="00B07E5C" w:rsidRPr="00FB7C25">
              <w:rPr>
                <w:b/>
                <w:sz w:val="20"/>
                <w:szCs w:val="20"/>
              </w:rPr>
              <w:t>;</w:t>
            </w:r>
            <w:r w:rsidR="00B07E5C" w:rsidRPr="00FB7C25">
              <w:rPr>
                <w:sz w:val="20"/>
                <w:szCs w:val="20"/>
              </w:rPr>
              <w:t xml:space="preserve"> Practice m</w:t>
            </w:r>
            <w:r w:rsidR="00014CE1" w:rsidRPr="00FB7C25">
              <w:rPr>
                <w:sz w:val="20"/>
                <w:szCs w:val="20"/>
              </w:rPr>
              <w:t>ay hire clinician and have a la</w:t>
            </w:r>
            <w:r w:rsidR="00B07E5C" w:rsidRPr="00FB7C25">
              <w:rPr>
                <w:sz w:val="20"/>
                <w:szCs w:val="20"/>
              </w:rPr>
              <w:t xml:space="preserve">ter start date to allow time for the credentialing process; health plans have 45 days to process credentialing applications from the time a complete application is received. </w:t>
            </w:r>
          </w:p>
        </w:tc>
        <w:tc>
          <w:tcPr>
            <w:tcW w:w="4410" w:type="dxa"/>
          </w:tcPr>
          <w:p w14:paraId="7090D2EF" w14:textId="20DB38E3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Resume and date of hire</w:t>
            </w:r>
          </w:p>
          <w:p w14:paraId="4645E608" w14:textId="23BEFA30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no later than Nov 1, 2019</w:t>
            </w:r>
          </w:p>
        </w:tc>
        <w:tc>
          <w:tcPr>
            <w:tcW w:w="4410" w:type="dxa"/>
          </w:tcPr>
          <w:p w14:paraId="33692C42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Resume and date of hire</w:t>
            </w:r>
          </w:p>
          <w:p w14:paraId="6C0B2126" w14:textId="06D8AB2F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no later than Aug 1, 2020</w:t>
            </w:r>
          </w:p>
        </w:tc>
        <w:tc>
          <w:tcPr>
            <w:tcW w:w="1440" w:type="dxa"/>
          </w:tcPr>
          <w:p w14:paraId="1A9F1DD7" w14:textId="63F5E97C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65487661" w14:textId="2FE571BE" w:rsidR="00A71FDE" w:rsidRPr="00FB7C25" w:rsidRDefault="00D26E32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hyperlink r:id="rId10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4DADFB33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A4DB642" w14:textId="366EF763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Establish IBH workflows including roles and responsibilities for screening protocols, implementing warm hand-offs and care coordination of referrals when external behavioral health resources are needed</w:t>
            </w:r>
          </w:p>
        </w:tc>
        <w:tc>
          <w:tcPr>
            <w:tcW w:w="4410" w:type="dxa"/>
          </w:tcPr>
          <w:p w14:paraId="2255CEB5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14:paraId="50E7A93B" w14:textId="7B7F7563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no later than Jan 1, 2020</w:t>
            </w:r>
          </w:p>
        </w:tc>
        <w:tc>
          <w:tcPr>
            <w:tcW w:w="4410" w:type="dxa"/>
          </w:tcPr>
          <w:p w14:paraId="1066E0C4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14:paraId="5DF9C3F7" w14:textId="3550E83A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no later than Oct 1, 2020</w:t>
            </w:r>
          </w:p>
        </w:tc>
        <w:tc>
          <w:tcPr>
            <w:tcW w:w="1440" w:type="dxa"/>
          </w:tcPr>
          <w:p w14:paraId="62540E1B" w14:textId="020391B7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</w:p>
        </w:tc>
      </w:tr>
      <w:tr w:rsidR="00A71FDE" w:rsidRPr="00FB7C25" w14:paraId="05E8D352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38E91D6" w14:textId="678A102D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 xml:space="preserve">Establish billing systems that will allow for the billing of BH services and/or establish supervision of BH interns </w:t>
            </w:r>
          </w:p>
        </w:tc>
        <w:tc>
          <w:tcPr>
            <w:tcW w:w="4410" w:type="dxa"/>
          </w:tcPr>
          <w:p w14:paraId="2F7D9151" w14:textId="67D167DA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14:paraId="7F3C8A58" w14:textId="6C12B642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no later than Feb 1, 2020</w:t>
            </w:r>
          </w:p>
          <w:p w14:paraId="50943B78" w14:textId="77777777" w:rsidR="00A71FDE" w:rsidRPr="00FB7C25" w:rsidRDefault="00A71FDE" w:rsidP="00A71FD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E95296D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</w:p>
          <w:p w14:paraId="1B6321B4" w14:textId="1A7599B6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no later than Nov 1, 2020</w:t>
            </w:r>
          </w:p>
          <w:p w14:paraId="0E10CE5D" w14:textId="2BD9D38A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5F5FBF" w14:textId="51DFB432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</w:p>
        </w:tc>
      </w:tr>
      <w:tr w:rsidR="00A71FDE" w:rsidRPr="00FB7C25" w14:paraId="401154CE" w14:textId="77777777" w:rsidTr="006514D9">
        <w:trPr>
          <w:trHeight w:val="71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B11901D" w14:textId="634C3109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Implement program identified evidence-based screening tools for 3 out of 5 populations of focus and provide quarterly reports:  1. Childhood psychosocial functioning; Adolescent 2. depression, 3. anxiety, 4. substance use; 5. post-partum depression in new mothers</w:t>
            </w:r>
          </w:p>
        </w:tc>
        <w:tc>
          <w:tcPr>
            <w:tcW w:w="4410" w:type="dxa"/>
          </w:tcPr>
          <w:p w14:paraId="4B2006BB" w14:textId="5391AD1D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Quarterly Reports</w:t>
            </w:r>
          </w:p>
          <w:p w14:paraId="40CADBE0" w14:textId="5B187FCA" w:rsidR="00654406" w:rsidRPr="00FB7C25" w:rsidRDefault="00654406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bookmarkStart w:id="1" w:name="_Hlk23149481"/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July 1, 2019 – Nov 30, 2019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Jan 1, 2020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 </w:t>
            </w:r>
          </w:p>
          <w:bookmarkEnd w:id="1"/>
          <w:p w14:paraId="709EA045" w14:textId="069103DC" w:rsidR="00A71FDE" w:rsidRPr="00FB7C25" w:rsidRDefault="00654406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Dec 1, 2019 – Feb 28, 2020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 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Apr 1, 2020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Mar 1, 2020 – May 31, 2020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July 1, 2020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1F2E3EC9" w14:textId="77777777" w:rsidR="00654406" w:rsidRPr="00FB7C25" w:rsidRDefault="00654406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June 1, 2020 – Aug 31, 2020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Oct 1, 2020</w:t>
            </w:r>
          </w:p>
          <w:p w14:paraId="7ED22D57" w14:textId="77777777" w:rsidR="00654406" w:rsidRPr="00FB7C25" w:rsidRDefault="00654406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Sept 1, 2020 – Nov 30, 2020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Jan 1, 2021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Dec 1, 2020 – Feb 28, 2021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Apr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1, 2021</w:t>
            </w:r>
          </w:p>
          <w:p w14:paraId="13879B1D" w14:textId="09CE338C" w:rsidR="00A71FDE" w:rsidRPr="00FB7C25" w:rsidRDefault="00654406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Mar 1, 2021 – May 31, 2021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July 1, 2021</w:t>
            </w:r>
          </w:p>
          <w:p w14:paraId="6ED92A9C" w14:textId="0637C2F6" w:rsidR="00654406" w:rsidRPr="00FB7C25" w:rsidRDefault="00654406" w:rsidP="00AC7DFA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June 1, 2021 – Aug 31, 2021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Oct 1, 2021</w:t>
            </w:r>
          </w:p>
          <w:p w14:paraId="7A6A3748" w14:textId="35613BDC" w:rsidR="00A71FDE" w:rsidRPr="00FB7C25" w:rsidRDefault="00654406" w:rsidP="00AC7DFA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Sept 1, 2021 – Nov 30, 2021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Jan 1, 2022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Dec 1, 2021 – Feb 28, 2022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="00A71FDE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Apr 1, 2022 </w:t>
            </w:r>
          </w:p>
        </w:tc>
        <w:tc>
          <w:tcPr>
            <w:tcW w:w="4410" w:type="dxa"/>
          </w:tcPr>
          <w:p w14:paraId="2AF57F76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Quarterly Reports</w:t>
            </w:r>
          </w:p>
          <w:p w14:paraId="502953FA" w14:textId="68C3ABEF" w:rsidR="00654406" w:rsidRPr="00FB7C25" w:rsidRDefault="00E16E3A" w:rsidP="00654406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Apr</w:t>
            </w:r>
            <w:r w:rsidR="00654406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 1, 2020 – Aug 31, 2020 </w:t>
            </w:r>
            <w:r w:rsidR="00654406"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="00654406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Oct 1, 2020</w:t>
            </w:r>
          </w:p>
          <w:p w14:paraId="5C878ED0" w14:textId="77777777" w:rsidR="00654406" w:rsidRPr="00FB7C25" w:rsidRDefault="00654406" w:rsidP="00654406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Sept 1, 2020 – Nov 30, 2020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Jan 1, 2021 Dec 1, 2020 – Feb 28, 2021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Apr 1, 2021</w:t>
            </w:r>
          </w:p>
          <w:p w14:paraId="577E981B" w14:textId="77777777" w:rsidR="00654406" w:rsidRPr="00FB7C25" w:rsidRDefault="00654406" w:rsidP="00654406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Mar 1, 2021 – May 31, 2021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July 1, 2021</w:t>
            </w:r>
          </w:p>
          <w:p w14:paraId="2E9E15C8" w14:textId="77777777" w:rsidR="00654406" w:rsidRPr="00FB7C25" w:rsidRDefault="00654406" w:rsidP="00654406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June 1, 2021 – Aug 31, 2021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Oct 1, 2021</w:t>
            </w:r>
          </w:p>
          <w:p w14:paraId="0EE73DE0" w14:textId="01B6688F" w:rsidR="00A71FDE" w:rsidRPr="00FB7C25" w:rsidRDefault="00654406" w:rsidP="00654406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Sept 1, 2021 – Nov 30, 2021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Jan 1, 2022 Dec 1, 2021 – Feb 28, 2022 </w:t>
            </w:r>
            <w:r w:rsidRPr="00FB7C25">
              <w:rPr>
                <w:rFonts w:ascii="Arial Narrow" w:eastAsiaTheme="majorEastAsia" w:hAnsi="Arial Narrow" w:cstheme="majorBidi"/>
                <w:bCs/>
                <w:sz w:val="20"/>
                <w:szCs w:val="20"/>
              </w:rPr>
              <w:t xml:space="preserve">♦ due 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Apr 1, 2022</w:t>
            </w:r>
          </w:p>
        </w:tc>
        <w:tc>
          <w:tcPr>
            <w:tcW w:w="1440" w:type="dxa"/>
          </w:tcPr>
          <w:p w14:paraId="52D22348" w14:textId="35C9845A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62A070B9" w14:textId="77777777" w:rsidR="00A71FDE" w:rsidRPr="00FB7C25" w:rsidRDefault="00D26E32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hyperlink r:id="rId11" w:history="1">
              <w:r w:rsidR="00A71FDE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CTC  Portal</w:t>
              </w:r>
            </w:hyperlink>
          </w:p>
        </w:tc>
      </w:tr>
      <w:tr w:rsidR="00A71FDE" w:rsidRPr="00FB7C25" w14:paraId="77C4A802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3B1A9DC" w14:textId="190DC05F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lastRenderedPageBreak/>
              <w:t>PDSA Plan for improving screening/re-screening rates (or other relevant PI study if practice is meeting screening thresholds for three of the selected populations of focus)</w:t>
            </w:r>
          </w:p>
        </w:tc>
        <w:tc>
          <w:tcPr>
            <w:tcW w:w="4410" w:type="dxa"/>
          </w:tcPr>
          <w:p w14:paraId="7698C782" w14:textId="56713A73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PDSA Plan</w:t>
            </w:r>
          </w:p>
          <w:p w14:paraId="01CE5EDA" w14:textId="3628433F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Apr 1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, 2020</w:t>
            </w:r>
          </w:p>
          <w:p w14:paraId="65198378" w14:textId="32201706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14:paraId="50A3E285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PDSA Plan</w:t>
            </w:r>
          </w:p>
          <w:p w14:paraId="3A35F9FC" w14:textId="2E155E72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Due 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Jan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 1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, 2021</w:t>
            </w:r>
          </w:p>
          <w:p w14:paraId="67971A2F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D58E3B" w14:textId="0076C603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01BE2CAD" w14:textId="69263C02" w:rsidR="00A71FDE" w:rsidRPr="00FB7C25" w:rsidRDefault="00D26E32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hyperlink r:id="rId12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0420220A" w14:textId="77777777" w:rsidTr="006514D9">
        <w:trPr>
          <w:trHeight w:val="62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7DC4A" w14:textId="77777777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 xml:space="preserve">Maine Assessment Tool </w:t>
            </w:r>
          </w:p>
          <w:p w14:paraId="155AC6D9" w14:textId="3B80C27A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>(Mid-point Intervention)</w:t>
            </w:r>
          </w:p>
        </w:tc>
        <w:tc>
          <w:tcPr>
            <w:tcW w:w="4410" w:type="dxa"/>
            <w:shd w:val="clear" w:color="auto" w:fill="auto"/>
          </w:tcPr>
          <w:p w14:paraId="568B1CA4" w14:textId="63FFB814" w:rsidR="00A71FDE" w:rsidRPr="00FB7C25" w:rsidRDefault="00AC7DFA" w:rsidP="00AC7DFA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MeHAF</w:t>
            </w:r>
          </w:p>
          <w:p w14:paraId="31D6A70E" w14:textId="62175B96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July 1, 2020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 xml:space="preserve"> </w:t>
            </w:r>
          </w:p>
          <w:p w14:paraId="12D39802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14:paraId="43C40114" w14:textId="75D34917" w:rsidR="00A71FDE" w:rsidRPr="00FB7C25" w:rsidRDefault="00AC7DFA" w:rsidP="00AC7DFA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MeHAF</w:t>
            </w:r>
          </w:p>
          <w:p w14:paraId="516A2F83" w14:textId="2DAC87E9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Due 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Apr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 1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, 2021</w:t>
            </w:r>
          </w:p>
          <w:p w14:paraId="5A7B48FC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6ABD798" w14:textId="77777777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497AB936" w14:textId="72C9D4B8" w:rsidR="00A71FDE" w:rsidRPr="00FB7C25" w:rsidRDefault="00D26E32" w:rsidP="00A71FDE">
            <w:pPr>
              <w:rPr>
                <w:rFonts w:eastAsiaTheme="majorEastAsia" w:cstheme="majorBidi"/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13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4EDAC80C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268C2ED9" w14:textId="4C4E179A" w:rsidR="00A71FDE" w:rsidRPr="00FB7C25" w:rsidRDefault="00A71FDE" w:rsidP="00A71FDE">
            <w:pPr>
              <w:jc w:val="center"/>
              <w:rPr>
                <w:b/>
                <w:i/>
                <w:sz w:val="20"/>
                <w:szCs w:val="20"/>
              </w:rPr>
            </w:pPr>
            <w:r w:rsidRPr="00FB7C25">
              <w:rPr>
                <w:b/>
                <w:i/>
                <w:sz w:val="20"/>
                <w:szCs w:val="20"/>
              </w:rPr>
              <w:t>Performance Year 2</w:t>
            </w:r>
          </w:p>
        </w:tc>
        <w:tc>
          <w:tcPr>
            <w:tcW w:w="4410" w:type="dxa"/>
          </w:tcPr>
          <w:p w14:paraId="6AEE04DC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i/>
                <w:sz w:val="20"/>
                <w:szCs w:val="20"/>
              </w:rPr>
            </w:pPr>
          </w:p>
        </w:tc>
        <w:tc>
          <w:tcPr>
            <w:tcW w:w="4410" w:type="dxa"/>
          </w:tcPr>
          <w:p w14:paraId="483D5772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507D10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i/>
                <w:sz w:val="20"/>
                <w:szCs w:val="20"/>
              </w:rPr>
            </w:pPr>
          </w:p>
        </w:tc>
      </w:tr>
      <w:tr w:rsidR="00A71FDE" w:rsidRPr="00FB7C25" w14:paraId="50A57416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9A54020" w14:textId="1D364C54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Execute Memorandum of Agreement with PEDI PRN (if not already in place) and MOMS PRN (if available);</w:t>
            </w:r>
          </w:p>
        </w:tc>
        <w:tc>
          <w:tcPr>
            <w:tcW w:w="4410" w:type="dxa"/>
          </w:tcPr>
          <w:p w14:paraId="6D3F2376" w14:textId="74A3D30C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Pedi PRN &amp; MOMS PRN MOUs</w:t>
            </w:r>
          </w:p>
          <w:p w14:paraId="7399D5A7" w14:textId="2A6F7973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Aug 1, 2020</w:t>
            </w:r>
          </w:p>
        </w:tc>
        <w:tc>
          <w:tcPr>
            <w:tcW w:w="4410" w:type="dxa"/>
          </w:tcPr>
          <w:p w14:paraId="218AD05C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Pedi PRN &amp; MOMS PRN MOUs</w:t>
            </w:r>
          </w:p>
          <w:p w14:paraId="6FA65330" w14:textId="0DFD8305" w:rsidR="00A71FDE" w:rsidRPr="00FB7C25" w:rsidRDefault="00A71FDE" w:rsidP="00AC7DFA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Due 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May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 1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, 2021</w:t>
            </w:r>
          </w:p>
        </w:tc>
        <w:tc>
          <w:tcPr>
            <w:tcW w:w="1440" w:type="dxa"/>
          </w:tcPr>
          <w:p w14:paraId="644BE689" w14:textId="77777777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5AD24B73" w14:textId="4CF574F8" w:rsidR="00A71FDE" w:rsidRPr="00FB7C25" w:rsidRDefault="00D26E32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hyperlink r:id="rId14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7250F218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4E6E59A7" w14:textId="0D207B1F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Updated PDSA Plan for improving screening/re-screening rates (or other relevant PI study if practice is meeting screening thresholds for three of the selected populations of focus)</w:t>
            </w:r>
          </w:p>
        </w:tc>
        <w:tc>
          <w:tcPr>
            <w:tcW w:w="4410" w:type="dxa"/>
          </w:tcPr>
          <w:p w14:paraId="1C3BEC2B" w14:textId="72CC0331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 xml:space="preserve">PDSA Plan </w:t>
            </w:r>
          </w:p>
          <w:p w14:paraId="7A722F0F" w14:textId="4282C740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Oct 1, 2020</w:t>
            </w:r>
          </w:p>
          <w:p w14:paraId="09845906" w14:textId="142014F4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14:paraId="68E54A1F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 xml:space="preserve">PDSA Plan </w:t>
            </w:r>
          </w:p>
          <w:p w14:paraId="3F59837E" w14:textId="0D00E77B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Due 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July 1, 2021</w:t>
            </w:r>
          </w:p>
          <w:p w14:paraId="3172D0FD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57F759" w14:textId="2AD466A7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0AB8E5B4" w14:textId="169FFF37" w:rsidR="00A71FDE" w:rsidRPr="00FB7C25" w:rsidRDefault="00D26E32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hyperlink r:id="rId15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7FE15487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5126EA2E" w14:textId="1B633476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Demonstrate use of registry report which provides information on initial screening results for selected behavioral health condition and follow up screening result post intervention;</w:t>
            </w:r>
          </w:p>
        </w:tc>
        <w:tc>
          <w:tcPr>
            <w:tcW w:w="4410" w:type="dxa"/>
          </w:tcPr>
          <w:p w14:paraId="059AE6C5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Registry Report</w:t>
            </w:r>
          </w:p>
          <w:p w14:paraId="5CF2BFE0" w14:textId="2DC55000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Nov 1, 2020</w:t>
            </w:r>
          </w:p>
        </w:tc>
        <w:tc>
          <w:tcPr>
            <w:tcW w:w="4410" w:type="dxa"/>
          </w:tcPr>
          <w:p w14:paraId="681658C1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Registry Report</w:t>
            </w:r>
          </w:p>
          <w:p w14:paraId="67B7D40E" w14:textId="27DD967C" w:rsidR="00A71FDE" w:rsidRPr="00FB7C25" w:rsidRDefault="00A71FDE" w:rsidP="00AC7DFA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Due 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Aug 1, 2021</w:t>
            </w:r>
          </w:p>
        </w:tc>
        <w:tc>
          <w:tcPr>
            <w:tcW w:w="1440" w:type="dxa"/>
          </w:tcPr>
          <w:p w14:paraId="510F574E" w14:textId="77777777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124F1B91" w14:textId="3572AF5C" w:rsidR="00A71FDE" w:rsidRPr="00FB7C25" w:rsidRDefault="00D26E32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hyperlink r:id="rId16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0AACFD7B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065FC" w14:textId="248A2D7E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PDSA Plan for addressing a population health need that can be addressed through improved connections to community resources</w:t>
            </w:r>
          </w:p>
        </w:tc>
        <w:tc>
          <w:tcPr>
            <w:tcW w:w="4410" w:type="dxa"/>
            <w:shd w:val="clear" w:color="auto" w:fill="auto"/>
          </w:tcPr>
          <w:p w14:paraId="56AC4ACF" w14:textId="6D8D88F1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>PDSA Plan</w:t>
            </w:r>
          </w:p>
          <w:p w14:paraId="240569E3" w14:textId="06571613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Jan 1, 2021</w:t>
            </w:r>
          </w:p>
        </w:tc>
        <w:tc>
          <w:tcPr>
            <w:tcW w:w="4410" w:type="dxa"/>
          </w:tcPr>
          <w:p w14:paraId="110A3E2E" w14:textId="77777777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>PDSA Plan</w:t>
            </w:r>
          </w:p>
          <w:p w14:paraId="47C6D206" w14:textId="062B3F48" w:rsidR="00A71FDE" w:rsidRPr="00FB7C25" w:rsidRDefault="00A71FDE" w:rsidP="00AC7DFA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Due 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Oct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 1, 2021</w:t>
            </w:r>
          </w:p>
        </w:tc>
        <w:tc>
          <w:tcPr>
            <w:tcW w:w="1440" w:type="dxa"/>
            <w:shd w:val="clear" w:color="auto" w:fill="auto"/>
          </w:tcPr>
          <w:p w14:paraId="6D604F38" w14:textId="1CC835DB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7EBBEE2C" w14:textId="1BC9F34A" w:rsidR="00A71FDE" w:rsidRPr="00FB7C25" w:rsidRDefault="00D26E32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hyperlink r:id="rId17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271A08BA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76185" w14:textId="19CEA78D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Updated PDSA Plan for addressing a population health need that can be addressed through improved connections to community resources</w:t>
            </w:r>
          </w:p>
        </w:tc>
        <w:tc>
          <w:tcPr>
            <w:tcW w:w="4410" w:type="dxa"/>
            <w:shd w:val="clear" w:color="auto" w:fill="auto"/>
          </w:tcPr>
          <w:p w14:paraId="66752021" w14:textId="77777777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>PDSA Plan</w:t>
            </w:r>
          </w:p>
          <w:p w14:paraId="365E72B9" w14:textId="6F7F0791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Jul 1, 2021</w:t>
            </w:r>
          </w:p>
        </w:tc>
        <w:tc>
          <w:tcPr>
            <w:tcW w:w="4410" w:type="dxa"/>
          </w:tcPr>
          <w:p w14:paraId="0F6FE822" w14:textId="77777777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>PDSA Plan</w:t>
            </w:r>
          </w:p>
          <w:p w14:paraId="6063E9CA" w14:textId="646C3AF8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Due 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Apr 1, 2022</w:t>
            </w:r>
          </w:p>
        </w:tc>
        <w:tc>
          <w:tcPr>
            <w:tcW w:w="1440" w:type="dxa"/>
            <w:shd w:val="clear" w:color="auto" w:fill="auto"/>
          </w:tcPr>
          <w:p w14:paraId="740CC844" w14:textId="77777777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296BC966" w14:textId="3401ED74" w:rsidR="00A71FDE" w:rsidRPr="00FB7C25" w:rsidRDefault="00D26E32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hyperlink r:id="rId18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72EDFBD5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B13D7" w14:textId="4BE5532C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 xml:space="preserve">Maine Assessment Tool </w:t>
            </w:r>
          </w:p>
          <w:p w14:paraId="0DD4E2B2" w14:textId="77777777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>(Post Intervention)</w:t>
            </w:r>
          </w:p>
        </w:tc>
        <w:tc>
          <w:tcPr>
            <w:tcW w:w="4410" w:type="dxa"/>
            <w:shd w:val="clear" w:color="auto" w:fill="auto"/>
          </w:tcPr>
          <w:p w14:paraId="74B3D35A" w14:textId="0E3488EA" w:rsidR="00A71FDE" w:rsidRPr="00FB7C25" w:rsidRDefault="00AC7DFA" w:rsidP="00AC7DFA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MeHAF</w:t>
            </w:r>
          </w:p>
          <w:p w14:paraId="31C01C1B" w14:textId="734B8513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Due July 1, 2021</w:t>
            </w: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 xml:space="preserve"> </w:t>
            </w:r>
          </w:p>
          <w:p w14:paraId="7003C208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</w:p>
        </w:tc>
        <w:tc>
          <w:tcPr>
            <w:tcW w:w="4410" w:type="dxa"/>
          </w:tcPr>
          <w:p w14:paraId="6D57363E" w14:textId="1075448A" w:rsidR="00A71FDE" w:rsidRPr="00FB7C25" w:rsidRDefault="00AC7DFA" w:rsidP="00AC7DFA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</w:rPr>
              <w:t>MeHAF</w:t>
            </w:r>
          </w:p>
          <w:p w14:paraId="45C8CAFB" w14:textId="0E6ED479" w:rsidR="00A71FDE" w:rsidRPr="00FB7C25" w:rsidRDefault="00A71FDE" w:rsidP="00A71FDE">
            <w:pPr>
              <w:jc w:val="center"/>
              <w:rPr>
                <w:rFonts w:eastAsiaTheme="majorEastAsia" w:cstheme="majorBidi"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 xml:space="preserve">Due </w:t>
            </w:r>
            <w:r w:rsidR="00AC7DFA" w:rsidRPr="00FB7C25">
              <w:rPr>
                <w:rFonts w:eastAsiaTheme="majorEastAsia" w:cstheme="majorBidi"/>
                <w:bCs/>
                <w:sz w:val="20"/>
                <w:szCs w:val="20"/>
                <w:highlight w:val="yellow"/>
              </w:rPr>
              <w:t>Apr 1, 2022</w:t>
            </w:r>
          </w:p>
          <w:p w14:paraId="4AD3DD72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793C15F" w14:textId="31740440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rFonts w:eastAsiaTheme="majorEastAsia" w:cstheme="majorBidi"/>
                <w:b/>
                <w:bCs/>
                <w:sz w:val="20"/>
                <w:szCs w:val="20"/>
              </w:rPr>
              <w:t>Submit to:</w:t>
            </w:r>
          </w:p>
          <w:p w14:paraId="7A6E422F" w14:textId="059CFC2C" w:rsidR="00A71FDE" w:rsidRPr="00FB7C25" w:rsidRDefault="00D26E32" w:rsidP="00A71FDE">
            <w:pPr>
              <w:rPr>
                <w:rFonts w:eastAsiaTheme="majorEastAsia" w:cstheme="majorBidi"/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19" w:history="1">
              <w:r w:rsidR="00014CE1" w:rsidRPr="00FB7C25">
                <w:rPr>
                  <w:rStyle w:val="Hyperlink"/>
                  <w:rFonts w:eastAsiaTheme="majorEastAsia" w:cstheme="majorBidi"/>
                  <w:b/>
                  <w:bCs/>
                  <w:sz w:val="20"/>
                  <w:szCs w:val="20"/>
                </w:rPr>
                <w:t>reports@ctc-ri.org</w:t>
              </w:r>
            </w:hyperlink>
          </w:p>
        </w:tc>
      </w:tr>
      <w:tr w:rsidR="00A71FDE" w:rsidRPr="00FB7C25" w14:paraId="1D603D15" w14:textId="77777777" w:rsidTr="006514D9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C5D7C9C" w14:textId="08E2F28C" w:rsidR="00A71FDE" w:rsidRPr="00FB7C25" w:rsidRDefault="00A71FDE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Learning Networks:</w:t>
            </w:r>
          </w:p>
          <w:p w14:paraId="49822BB0" w14:textId="77777777" w:rsidR="00A71FDE" w:rsidRPr="00FB7C25" w:rsidRDefault="00A71FDE" w:rsidP="00A71FDE">
            <w:pPr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 xml:space="preserve">Orientation </w:t>
            </w:r>
          </w:p>
          <w:p w14:paraId="21D2CF90" w14:textId="77777777" w:rsidR="00A71FDE" w:rsidRPr="00FB7C25" w:rsidRDefault="00A71FDE" w:rsidP="00A71FDE">
            <w:pPr>
              <w:rPr>
                <w:sz w:val="20"/>
                <w:szCs w:val="20"/>
              </w:rPr>
            </w:pPr>
          </w:p>
          <w:p w14:paraId="2F718BE0" w14:textId="77777777" w:rsidR="00A71FDE" w:rsidRPr="00FB7C25" w:rsidRDefault="00A71FDE" w:rsidP="00A71FDE">
            <w:pPr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 xml:space="preserve">Monthly Meetings with IBH Consultant </w:t>
            </w:r>
          </w:p>
          <w:p w14:paraId="320FCB92" w14:textId="77777777" w:rsidR="00A71FDE" w:rsidRPr="00FB7C25" w:rsidRDefault="00A71FDE" w:rsidP="00A71FDE">
            <w:pPr>
              <w:rPr>
                <w:sz w:val="20"/>
                <w:szCs w:val="20"/>
              </w:rPr>
            </w:pPr>
          </w:p>
          <w:p w14:paraId="2301668C" w14:textId="78903E90" w:rsidR="00A71FDE" w:rsidRPr="00FB7C25" w:rsidRDefault="00A71FDE" w:rsidP="00A71FDE">
            <w:pPr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 xml:space="preserve">Quarterly Required Content Seminars </w:t>
            </w:r>
          </w:p>
          <w:p w14:paraId="07C7DFC8" w14:textId="057F909F" w:rsidR="00A71FDE" w:rsidRPr="00FB7C25" w:rsidRDefault="00A71FDE" w:rsidP="00A71FDE">
            <w:pPr>
              <w:rPr>
                <w:sz w:val="20"/>
                <w:szCs w:val="20"/>
              </w:rPr>
            </w:pPr>
          </w:p>
          <w:p w14:paraId="19E0A3BF" w14:textId="39442419" w:rsidR="00A71FDE" w:rsidRPr="00FB7C25" w:rsidRDefault="00A71FDE" w:rsidP="00A71FD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63194930" w14:textId="77777777" w:rsidR="00A71FDE" w:rsidRPr="00FB7C25" w:rsidRDefault="00A71FDE" w:rsidP="00A71FDE">
            <w:pPr>
              <w:rPr>
                <w:sz w:val="20"/>
                <w:szCs w:val="20"/>
              </w:rPr>
            </w:pPr>
          </w:p>
          <w:p w14:paraId="5C199871" w14:textId="70CD56C3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  <w:highlight w:val="yellow"/>
              </w:rPr>
              <w:t>July 11, 2019</w:t>
            </w:r>
          </w:p>
          <w:p w14:paraId="5CFA175E" w14:textId="77777777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</w:p>
          <w:p w14:paraId="015F55B5" w14:textId="00DB1E73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  <w:highlight w:val="yellow"/>
              </w:rPr>
              <w:t>Starts July 2019</w:t>
            </w:r>
          </w:p>
          <w:p w14:paraId="4167AB17" w14:textId="77777777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</w:p>
          <w:p w14:paraId="236079E4" w14:textId="662E92F3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>7:30 -9:00AM Quarterly</w:t>
            </w:r>
          </w:p>
          <w:p w14:paraId="4647B69F" w14:textId="374EB163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  <w:highlight w:val="yellow"/>
              </w:rPr>
              <w:t>(Oct 10, 2019; Jan 9, 2020; Apr 9, 2020, July 9, 2020, Oct 8, 2020, tbd)</w:t>
            </w:r>
            <w:r w:rsidRPr="00FB7C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431FCCBC" w14:textId="77777777" w:rsidR="00A71FDE" w:rsidRPr="00FB7C25" w:rsidRDefault="00A71FDE" w:rsidP="00A71FDE">
            <w:pPr>
              <w:rPr>
                <w:sz w:val="20"/>
                <w:szCs w:val="20"/>
              </w:rPr>
            </w:pPr>
          </w:p>
          <w:p w14:paraId="35FE2210" w14:textId="77777777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  <w:highlight w:val="yellow"/>
              </w:rPr>
              <w:t>July 11, 2019</w:t>
            </w:r>
          </w:p>
          <w:p w14:paraId="716D8A83" w14:textId="77777777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</w:p>
          <w:p w14:paraId="1267C777" w14:textId="5CBD5B30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  <w:highlight w:val="yellow"/>
              </w:rPr>
              <w:t>Starts Apr 2020</w:t>
            </w:r>
          </w:p>
          <w:p w14:paraId="325BEE15" w14:textId="77777777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</w:p>
          <w:p w14:paraId="0BC96AE8" w14:textId="77777777" w:rsidR="00A71FDE" w:rsidRPr="00FB7C25" w:rsidRDefault="00A71FDE" w:rsidP="00A71FDE">
            <w:pPr>
              <w:jc w:val="center"/>
              <w:rPr>
                <w:sz w:val="20"/>
                <w:szCs w:val="20"/>
              </w:rPr>
            </w:pPr>
            <w:r w:rsidRPr="00FB7C25">
              <w:rPr>
                <w:sz w:val="20"/>
                <w:szCs w:val="20"/>
              </w:rPr>
              <w:t>7:30 -9:00AM Quarterly</w:t>
            </w:r>
          </w:p>
          <w:p w14:paraId="75703615" w14:textId="49170080" w:rsidR="00A71FDE" w:rsidRPr="00FB7C25" w:rsidRDefault="00A71FDE" w:rsidP="00A71FDE">
            <w:pPr>
              <w:jc w:val="center"/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  <w:r w:rsidRPr="00FB7C25">
              <w:rPr>
                <w:sz w:val="20"/>
                <w:szCs w:val="20"/>
                <w:highlight w:val="yellow"/>
              </w:rPr>
              <w:t>(Oct 10, 2019; Jan 9, 2020; Apr 9, 2020, July 9, 2020, Oct 8, 2020, tbd)</w:t>
            </w:r>
            <w:r w:rsidRPr="00FB7C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EE556C" w14:textId="3CE34238" w:rsidR="00A71FDE" w:rsidRPr="00FB7C25" w:rsidRDefault="00A71FDE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</w:p>
          <w:p w14:paraId="684FD8FD" w14:textId="77777777" w:rsidR="00A71FDE" w:rsidRPr="00FB7C25" w:rsidRDefault="00A71FDE" w:rsidP="00A71FDE">
            <w:pPr>
              <w:rPr>
                <w:rFonts w:eastAsiaTheme="majorEastAsia" w:cstheme="majorBidi"/>
                <w:sz w:val="20"/>
                <w:szCs w:val="20"/>
              </w:rPr>
            </w:pPr>
          </w:p>
          <w:p w14:paraId="5A444A0F" w14:textId="77777777" w:rsidR="00A71FDE" w:rsidRPr="00FB7C25" w:rsidRDefault="00A71FDE" w:rsidP="00A71FDE">
            <w:pPr>
              <w:rPr>
                <w:rFonts w:eastAsiaTheme="majorEastAsia" w:cstheme="majorBidi"/>
                <w:sz w:val="20"/>
                <w:szCs w:val="20"/>
              </w:rPr>
            </w:pPr>
          </w:p>
          <w:p w14:paraId="08DA0DB9" w14:textId="77777777" w:rsidR="00A71FDE" w:rsidRPr="00FB7C25" w:rsidRDefault="00A71FDE" w:rsidP="00A71FDE">
            <w:pPr>
              <w:rPr>
                <w:rFonts w:eastAsiaTheme="majorEastAsia" w:cstheme="majorBidi"/>
                <w:sz w:val="20"/>
                <w:szCs w:val="20"/>
              </w:rPr>
            </w:pPr>
          </w:p>
          <w:p w14:paraId="304D37BE" w14:textId="77777777" w:rsidR="00A71FDE" w:rsidRPr="00FB7C25" w:rsidRDefault="00A71FDE" w:rsidP="00A71FDE">
            <w:pPr>
              <w:jc w:val="center"/>
              <w:rPr>
                <w:rFonts w:eastAsiaTheme="majorEastAsia" w:cstheme="majorBidi"/>
                <w:sz w:val="20"/>
                <w:szCs w:val="20"/>
              </w:rPr>
            </w:pPr>
          </w:p>
        </w:tc>
      </w:tr>
      <w:tr w:rsidR="00AC7DFA" w:rsidRPr="00FB7C25" w14:paraId="1C23E258" w14:textId="77777777" w:rsidTr="006514D9">
        <w:tc>
          <w:tcPr>
            <w:tcW w:w="4410" w:type="dxa"/>
            <w:tcBorders>
              <w:top w:val="single" w:sz="4" w:space="0" w:color="auto"/>
            </w:tcBorders>
          </w:tcPr>
          <w:p w14:paraId="038FEC8E" w14:textId="69D38754" w:rsidR="00AC7DFA" w:rsidRPr="00FB7C25" w:rsidRDefault="00AC7DFA" w:rsidP="00A71FDE">
            <w:pPr>
              <w:rPr>
                <w:b/>
                <w:sz w:val="20"/>
                <w:szCs w:val="20"/>
              </w:rPr>
            </w:pPr>
            <w:r w:rsidRPr="00FB7C25">
              <w:rPr>
                <w:b/>
                <w:sz w:val="20"/>
                <w:szCs w:val="20"/>
              </w:rPr>
              <w:t>Participate in interview process as part of the qualitative research study.</w:t>
            </w:r>
          </w:p>
        </w:tc>
        <w:tc>
          <w:tcPr>
            <w:tcW w:w="4410" w:type="dxa"/>
          </w:tcPr>
          <w:p w14:paraId="4372B26B" w14:textId="77777777" w:rsidR="00AC7DFA" w:rsidRPr="00FB7C25" w:rsidRDefault="00AC7DFA" w:rsidP="00A71FDE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22337A81" w14:textId="77777777" w:rsidR="00AC7DFA" w:rsidRPr="00FB7C25" w:rsidRDefault="00AC7DFA" w:rsidP="00A71F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EF7337" w14:textId="77777777" w:rsidR="00AC7DFA" w:rsidRPr="00FB7C25" w:rsidRDefault="00AC7DFA" w:rsidP="00A71FDE">
            <w:pPr>
              <w:rPr>
                <w:rFonts w:eastAsiaTheme="majorEastAsia" w:cstheme="majorBidi"/>
                <w:b/>
                <w:bCs/>
                <w:sz w:val="20"/>
                <w:szCs w:val="20"/>
              </w:rPr>
            </w:pPr>
          </w:p>
        </w:tc>
      </w:tr>
    </w:tbl>
    <w:p w14:paraId="101405EE" w14:textId="77777777" w:rsidR="00354A58" w:rsidRPr="00FB7C25" w:rsidRDefault="00354A58" w:rsidP="00382FAB">
      <w:pPr>
        <w:rPr>
          <w:sz w:val="20"/>
          <w:szCs w:val="20"/>
        </w:rPr>
      </w:pPr>
    </w:p>
    <w:sectPr w:rsidR="00354A58" w:rsidRPr="00FB7C25" w:rsidSect="00014CE1">
      <w:pgSz w:w="15840" w:h="12240" w:orient="landscape" w:code="1"/>
      <w:pgMar w:top="432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A935" w14:textId="77777777" w:rsidR="00D26E32" w:rsidRDefault="00D26E32" w:rsidP="00CB61B9">
      <w:pPr>
        <w:spacing w:after="0" w:line="240" w:lineRule="auto"/>
      </w:pPr>
      <w:r>
        <w:separator/>
      </w:r>
    </w:p>
  </w:endnote>
  <w:endnote w:type="continuationSeparator" w:id="0">
    <w:p w14:paraId="03FBDA65" w14:textId="77777777" w:rsidR="00D26E32" w:rsidRDefault="00D26E32" w:rsidP="00CB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627B8" w14:textId="77777777" w:rsidR="00D26E32" w:rsidRDefault="00D26E32" w:rsidP="00CB61B9">
      <w:pPr>
        <w:spacing w:after="0" w:line="240" w:lineRule="auto"/>
      </w:pPr>
      <w:r>
        <w:separator/>
      </w:r>
    </w:p>
  </w:footnote>
  <w:footnote w:type="continuationSeparator" w:id="0">
    <w:p w14:paraId="483266C3" w14:textId="77777777" w:rsidR="00D26E32" w:rsidRDefault="00D26E32" w:rsidP="00CB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0F0"/>
    <w:multiLevelType w:val="hybridMultilevel"/>
    <w:tmpl w:val="1570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41B"/>
    <w:multiLevelType w:val="hybridMultilevel"/>
    <w:tmpl w:val="C18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3AC"/>
    <w:multiLevelType w:val="hybridMultilevel"/>
    <w:tmpl w:val="108C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43E"/>
    <w:multiLevelType w:val="hybridMultilevel"/>
    <w:tmpl w:val="427CF2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79A5462"/>
    <w:multiLevelType w:val="hybridMultilevel"/>
    <w:tmpl w:val="E2C2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F80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83DAF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11A00"/>
    <w:multiLevelType w:val="hybridMultilevel"/>
    <w:tmpl w:val="0BA6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052B"/>
    <w:multiLevelType w:val="hybridMultilevel"/>
    <w:tmpl w:val="411AE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B25EA"/>
    <w:multiLevelType w:val="hybridMultilevel"/>
    <w:tmpl w:val="5C1A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1"/>
    <w:rsid w:val="00002FC7"/>
    <w:rsid w:val="00014CE1"/>
    <w:rsid w:val="0002228D"/>
    <w:rsid w:val="00023FE7"/>
    <w:rsid w:val="00035957"/>
    <w:rsid w:val="00051437"/>
    <w:rsid w:val="00075C1D"/>
    <w:rsid w:val="00081901"/>
    <w:rsid w:val="000A6F9F"/>
    <w:rsid w:val="000C38E9"/>
    <w:rsid w:val="000C56FE"/>
    <w:rsid w:val="000C5BC4"/>
    <w:rsid w:val="000D4573"/>
    <w:rsid w:val="000D4C27"/>
    <w:rsid w:val="000E207D"/>
    <w:rsid w:val="000E2DC3"/>
    <w:rsid w:val="000E3EDB"/>
    <w:rsid w:val="000E5F03"/>
    <w:rsid w:val="0010093F"/>
    <w:rsid w:val="00111CAA"/>
    <w:rsid w:val="00120847"/>
    <w:rsid w:val="001307FA"/>
    <w:rsid w:val="001333EE"/>
    <w:rsid w:val="0013402C"/>
    <w:rsid w:val="00146736"/>
    <w:rsid w:val="00160AC3"/>
    <w:rsid w:val="001615F1"/>
    <w:rsid w:val="00163B90"/>
    <w:rsid w:val="00176883"/>
    <w:rsid w:val="0017786B"/>
    <w:rsid w:val="00182DA5"/>
    <w:rsid w:val="00190B3E"/>
    <w:rsid w:val="001935B8"/>
    <w:rsid w:val="00194D92"/>
    <w:rsid w:val="001A11CA"/>
    <w:rsid w:val="001B20FE"/>
    <w:rsid w:val="001B7E88"/>
    <w:rsid w:val="001D57FE"/>
    <w:rsid w:val="001E643D"/>
    <w:rsid w:val="001F6DFB"/>
    <w:rsid w:val="00202C93"/>
    <w:rsid w:val="00203811"/>
    <w:rsid w:val="00203B55"/>
    <w:rsid w:val="00210354"/>
    <w:rsid w:val="00214D40"/>
    <w:rsid w:val="002219C3"/>
    <w:rsid w:val="0023409A"/>
    <w:rsid w:val="00236919"/>
    <w:rsid w:val="00245154"/>
    <w:rsid w:val="002537DB"/>
    <w:rsid w:val="00297D1F"/>
    <w:rsid w:val="002B42F4"/>
    <w:rsid w:val="002C1DFF"/>
    <w:rsid w:val="002F40A0"/>
    <w:rsid w:val="00306CD5"/>
    <w:rsid w:val="003215E0"/>
    <w:rsid w:val="00330252"/>
    <w:rsid w:val="0035129C"/>
    <w:rsid w:val="00354A58"/>
    <w:rsid w:val="00356CF9"/>
    <w:rsid w:val="00366E3A"/>
    <w:rsid w:val="00375CB7"/>
    <w:rsid w:val="00381EED"/>
    <w:rsid w:val="00382FAB"/>
    <w:rsid w:val="003976CC"/>
    <w:rsid w:val="003A01D8"/>
    <w:rsid w:val="003A20EA"/>
    <w:rsid w:val="003A4BD6"/>
    <w:rsid w:val="003B4874"/>
    <w:rsid w:val="003C4052"/>
    <w:rsid w:val="003E43B2"/>
    <w:rsid w:val="003E73D1"/>
    <w:rsid w:val="004039AA"/>
    <w:rsid w:val="00424344"/>
    <w:rsid w:val="0042640D"/>
    <w:rsid w:val="00431612"/>
    <w:rsid w:val="00433C78"/>
    <w:rsid w:val="00437372"/>
    <w:rsid w:val="0044075A"/>
    <w:rsid w:val="00465365"/>
    <w:rsid w:val="004967AC"/>
    <w:rsid w:val="004A5FFA"/>
    <w:rsid w:val="004B3D51"/>
    <w:rsid w:val="004C1E2F"/>
    <w:rsid w:val="004C6041"/>
    <w:rsid w:val="004C658A"/>
    <w:rsid w:val="004D178A"/>
    <w:rsid w:val="004E0AE6"/>
    <w:rsid w:val="004E3084"/>
    <w:rsid w:val="004F1FFA"/>
    <w:rsid w:val="0050109E"/>
    <w:rsid w:val="005202A7"/>
    <w:rsid w:val="00525ABB"/>
    <w:rsid w:val="0053110B"/>
    <w:rsid w:val="005415B5"/>
    <w:rsid w:val="005550B8"/>
    <w:rsid w:val="00556D47"/>
    <w:rsid w:val="00561F8E"/>
    <w:rsid w:val="005662F3"/>
    <w:rsid w:val="00576E2A"/>
    <w:rsid w:val="00581732"/>
    <w:rsid w:val="00590EDB"/>
    <w:rsid w:val="005916C3"/>
    <w:rsid w:val="005A0C67"/>
    <w:rsid w:val="005A180E"/>
    <w:rsid w:val="005A2A4F"/>
    <w:rsid w:val="005D75E1"/>
    <w:rsid w:val="005E6082"/>
    <w:rsid w:val="005F1391"/>
    <w:rsid w:val="005F4D0B"/>
    <w:rsid w:val="00613E04"/>
    <w:rsid w:val="00623841"/>
    <w:rsid w:val="006367F2"/>
    <w:rsid w:val="006514D9"/>
    <w:rsid w:val="00654406"/>
    <w:rsid w:val="0066394E"/>
    <w:rsid w:val="00667E2D"/>
    <w:rsid w:val="00680786"/>
    <w:rsid w:val="00693052"/>
    <w:rsid w:val="006B0B74"/>
    <w:rsid w:val="006B3C6F"/>
    <w:rsid w:val="006C133B"/>
    <w:rsid w:val="006D3BC5"/>
    <w:rsid w:val="006E088B"/>
    <w:rsid w:val="006E6918"/>
    <w:rsid w:val="006F6F2E"/>
    <w:rsid w:val="00703CF9"/>
    <w:rsid w:val="00731F8D"/>
    <w:rsid w:val="00745482"/>
    <w:rsid w:val="007476AB"/>
    <w:rsid w:val="0075004E"/>
    <w:rsid w:val="0075296B"/>
    <w:rsid w:val="00754E53"/>
    <w:rsid w:val="00770B7F"/>
    <w:rsid w:val="00790F5C"/>
    <w:rsid w:val="007C188F"/>
    <w:rsid w:val="007E7E01"/>
    <w:rsid w:val="007F4F51"/>
    <w:rsid w:val="00800099"/>
    <w:rsid w:val="00873DFA"/>
    <w:rsid w:val="00894A20"/>
    <w:rsid w:val="00896A7E"/>
    <w:rsid w:val="008A1F96"/>
    <w:rsid w:val="008A682C"/>
    <w:rsid w:val="008B3AD3"/>
    <w:rsid w:val="008C0B40"/>
    <w:rsid w:val="008C6826"/>
    <w:rsid w:val="008D00F9"/>
    <w:rsid w:val="008D0543"/>
    <w:rsid w:val="008E1A32"/>
    <w:rsid w:val="008F4BCB"/>
    <w:rsid w:val="00902AD6"/>
    <w:rsid w:val="009159E3"/>
    <w:rsid w:val="009440B4"/>
    <w:rsid w:val="0095196E"/>
    <w:rsid w:val="009556B1"/>
    <w:rsid w:val="00970725"/>
    <w:rsid w:val="009936BD"/>
    <w:rsid w:val="009A4B37"/>
    <w:rsid w:val="009B339A"/>
    <w:rsid w:val="009D19C1"/>
    <w:rsid w:val="009F22B0"/>
    <w:rsid w:val="009F2C9A"/>
    <w:rsid w:val="00A04E33"/>
    <w:rsid w:val="00A30381"/>
    <w:rsid w:val="00A30FB5"/>
    <w:rsid w:val="00A43EB4"/>
    <w:rsid w:val="00A62025"/>
    <w:rsid w:val="00A65A3D"/>
    <w:rsid w:val="00A71FDE"/>
    <w:rsid w:val="00A84ABA"/>
    <w:rsid w:val="00A86D9E"/>
    <w:rsid w:val="00AA6AA1"/>
    <w:rsid w:val="00AC1B33"/>
    <w:rsid w:val="00AC6746"/>
    <w:rsid w:val="00AC7DFA"/>
    <w:rsid w:val="00AF0131"/>
    <w:rsid w:val="00B00997"/>
    <w:rsid w:val="00B01131"/>
    <w:rsid w:val="00B0257B"/>
    <w:rsid w:val="00B07E5C"/>
    <w:rsid w:val="00B13CB6"/>
    <w:rsid w:val="00B140DB"/>
    <w:rsid w:val="00B33332"/>
    <w:rsid w:val="00B43DB4"/>
    <w:rsid w:val="00B448A2"/>
    <w:rsid w:val="00B5249A"/>
    <w:rsid w:val="00B570E4"/>
    <w:rsid w:val="00B67912"/>
    <w:rsid w:val="00B73D78"/>
    <w:rsid w:val="00B85DD5"/>
    <w:rsid w:val="00B91E39"/>
    <w:rsid w:val="00BB59C2"/>
    <w:rsid w:val="00BC1A81"/>
    <w:rsid w:val="00BC277B"/>
    <w:rsid w:val="00BF51DB"/>
    <w:rsid w:val="00C04371"/>
    <w:rsid w:val="00C0526A"/>
    <w:rsid w:val="00C063C6"/>
    <w:rsid w:val="00C175E9"/>
    <w:rsid w:val="00C20A82"/>
    <w:rsid w:val="00C26872"/>
    <w:rsid w:val="00C37C93"/>
    <w:rsid w:val="00C43190"/>
    <w:rsid w:val="00C508E3"/>
    <w:rsid w:val="00C512B2"/>
    <w:rsid w:val="00C72A26"/>
    <w:rsid w:val="00C812FB"/>
    <w:rsid w:val="00C8138B"/>
    <w:rsid w:val="00C83B78"/>
    <w:rsid w:val="00CA10C8"/>
    <w:rsid w:val="00CA21BB"/>
    <w:rsid w:val="00CA610F"/>
    <w:rsid w:val="00CB61B9"/>
    <w:rsid w:val="00CD7C00"/>
    <w:rsid w:val="00CE7A7D"/>
    <w:rsid w:val="00CF0D42"/>
    <w:rsid w:val="00D0077D"/>
    <w:rsid w:val="00D04A53"/>
    <w:rsid w:val="00D16F3E"/>
    <w:rsid w:val="00D16F8D"/>
    <w:rsid w:val="00D26E32"/>
    <w:rsid w:val="00D358B5"/>
    <w:rsid w:val="00D36C3F"/>
    <w:rsid w:val="00D37611"/>
    <w:rsid w:val="00D40564"/>
    <w:rsid w:val="00D6590D"/>
    <w:rsid w:val="00D6695C"/>
    <w:rsid w:val="00D74D68"/>
    <w:rsid w:val="00D96F2B"/>
    <w:rsid w:val="00DA332D"/>
    <w:rsid w:val="00DF1666"/>
    <w:rsid w:val="00E16E3A"/>
    <w:rsid w:val="00E31A42"/>
    <w:rsid w:val="00E34FD0"/>
    <w:rsid w:val="00E47B39"/>
    <w:rsid w:val="00E47BBB"/>
    <w:rsid w:val="00EA0DB3"/>
    <w:rsid w:val="00EC39CA"/>
    <w:rsid w:val="00ED0E00"/>
    <w:rsid w:val="00ED1E0E"/>
    <w:rsid w:val="00ED7CC7"/>
    <w:rsid w:val="00EE5556"/>
    <w:rsid w:val="00EF569A"/>
    <w:rsid w:val="00F0024E"/>
    <w:rsid w:val="00F00E4A"/>
    <w:rsid w:val="00F25B5B"/>
    <w:rsid w:val="00F40A77"/>
    <w:rsid w:val="00F41A8E"/>
    <w:rsid w:val="00F44A6B"/>
    <w:rsid w:val="00F471DD"/>
    <w:rsid w:val="00F50B87"/>
    <w:rsid w:val="00F5236F"/>
    <w:rsid w:val="00F61ECA"/>
    <w:rsid w:val="00F71265"/>
    <w:rsid w:val="00F71650"/>
    <w:rsid w:val="00F73311"/>
    <w:rsid w:val="00F97906"/>
    <w:rsid w:val="00FB12D4"/>
    <w:rsid w:val="00FB7C25"/>
    <w:rsid w:val="00FD0E9A"/>
    <w:rsid w:val="00FD2875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28A7"/>
  <w15:docId w15:val="{6EAC45D7-CEDF-4975-95BB-0F320329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77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s@ctc-ri.org" TargetMode="External"/><Relationship Id="rId13" Type="http://schemas.openxmlformats.org/officeDocument/2006/relationships/hyperlink" Target="mailto:CTC-RI@ctc-ri.org" TargetMode="External"/><Relationship Id="rId18" Type="http://schemas.openxmlformats.org/officeDocument/2006/relationships/hyperlink" Target="mailto:CTC-RI@ctc-ri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TC-RI@ctc-ri.org" TargetMode="External"/><Relationship Id="rId17" Type="http://schemas.openxmlformats.org/officeDocument/2006/relationships/hyperlink" Target="mailto:CTC-RI@ctc-r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TC-RI@ctc-ri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c-r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C-RI@ctc-ri.org" TargetMode="External"/><Relationship Id="rId10" Type="http://schemas.openxmlformats.org/officeDocument/2006/relationships/hyperlink" Target="mailto:CTC-RI@ctc-ri.org" TargetMode="External"/><Relationship Id="rId19" Type="http://schemas.openxmlformats.org/officeDocument/2006/relationships/hyperlink" Target="mailto:CTC-RI@ctc-r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C-RI@ctc-ri.org" TargetMode="External"/><Relationship Id="rId14" Type="http://schemas.openxmlformats.org/officeDocument/2006/relationships/hyperlink" Target="mailto:CTC-RI@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BC98-F959-4DEB-99E7-B0A6545C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Candice</dc:creator>
  <cp:lastModifiedBy>Carolyn Karner</cp:lastModifiedBy>
  <cp:revision>2</cp:revision>
  <cp:lastPrinted>2020-05-07T15:18:00Z</cp:lastPrinted>
  <dcterms:created xsi:type="dcterms:W3CDTF">2020-05-07T15:40:00Z</dcterms:created>
  <dcterms:modified xsi:type="dcterms:W3CDTF">2020-05-07T15:40:00Z</dcterms:modified>
</cp:coreProperties>
</file>