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AE25" w14:textId="77777777" w:rsidR="006600F1" w:rsidRDefault="008309C5">
      <w:pPr>
        <w:ind w:left="140" w:right="1182"/>
        <w:rPr>
          <w:rFonts w:ascii="Cambria"/>
          <w:color w:val="17365D"/>
          <w:spacing w:val="10"/>
          <w:sz w:val="52"/>
        </w:rPr>
      </w:pPr>
      <w:bookmarkStart w:id="0" w:name="_GoBack"/>
      <w:bookmarkEnd w:id="0"/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320496">
        <w:rPr>
          <w:rFonts w:ascii="Cambria"/>
          <w:color w:val="17365D"/>
          <w:spacing w:val="2"/>
          <w:sz w:val="52"/>
        </w:rPr>
        <w:t>PCMH-</w:t>
      </w:r>
      <w:r w:rsidR="00D2798E">
        <w:rPr>
          <w:rFonts w:ascii="Cambria"/>
          <w:color w:val="17365D"/>
          <w:spacing w:val="2"/>
          <w:sz w:val="52"/>
        </w:rPr>
        <w:t xml:space="preserve">Kids </w:t>
      </w:r>
      <w:r w:rsidR="00D2798E">
        <w:rPr>
          <w:rFonts w:ascii="Cambria"/>
          <w:color w:val="17365D"/>
          <w:spacing w:val="9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>
        <w:rPr>
          <w:rFonts w:ascii="Cambria"/>
          <w:color w:val="17365D"/>
          <w:spacing w:val="10"/>
          <w:sz w:val="52"/>
        </w:rPr>
        <w:t xml:space="preserve"> </w:t>
      </w:r>
      <w:r w:rsidR="00D2798E">
        <w:rPr>
          <w:rFonts w:ascii="Cambria"/>
          <w:color w:val="17365D"/>
          <w:spacing w:val="10"/>
          <w:sz w:val="52"/>
        </w:rPr>
        <w:t xml:space="preserve">and Utilization </w:t>
      </w:r>
    </w:p>
    <w:p w14:paraId="7A4DAE26" w14:textId="77777777" w:rsidR="00D612B1" w:rsidRDefault="006600F1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10"/>
          <w:sz w:val="52"/>
        </w:rPr>
        <w:t xml:space="preserve">Recommended </w:t>
      </w:r>
      <w:r w:rsidR="008309C5">
        <w:rPr>
          <w:rFonts w:ascii="Cambria"/>
          <w:color w:val="17365D"/>
          <w:spacing w:val="2"/>
          <w:sz w:val="52"/>
        </w:rPr>
        <w:t>Contractual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Performance</w:t>
      </w:r>
      <w:r w:rsidR="008309C5">
        <w:rPr>
          <w:rFonts w:ascii="Cambria"/>
          <w:color w:val="17365D"/>
          <w:spacing w:val="46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Standards</w:t>
      </w:r>
      <w:r w:rsidR="008309C5">
        <w:rPr>
          <w:rFonts w:ascii="Cambria"/>
          <w:color w:val="17365D"/>
          <w:spacing w:val="9"/>
          <w:sz w:val="52"/>
        </w:rPr>
        <w:t xml:space="preserve"> </w:t>
      </w:r>
      <w:r w:rsidR="004B3D74">
        <w:rPr>
          <w:rFonts w:ascii="Cambria"/>
          <w:color w:val="17365D"/>
          <w:spacing w:val="3"/>
          <w:sz w:val="52"/>
        </w:rPr>
        <w:t>2018-2019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</w:p>
    <w:p w14:paraId="7A4DAE27" w14:textId="77777777"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14:paraId="7A4DAE28" w14:textId="77777777"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7A4DAEC5" wp14:editId="7A4DAE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38847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7A4DAE29" w14:textId="77777777"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28730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A4DAE2A" w14:textId="77777777" w:rsidR="00C8471E" w:rsidRDefault="00C8471E">
          <w:pPr>
            <w:pStyle w:val="TOCHeading"/>
          </w:pPr>
          <w:r>
            <w:t>Contents</w:t>
          </w:r>
        </w:p>
        <w:p w14:paraId="7A4DAE2B" w14:textId="77777777" w:rsidR="00C8471E" w:rsidRDefault="00C8471E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263092" w:history="1">
            <w:r w:rsidR="004B3D74">
              <w:rPr>
                <w:rStyle w:val="Hyperlink"/>
                <w:noProof/>
                <w:spacing w:val="-1"/>
                <w:u w:color="365F91"/>
              </w:rPr>
              <w:t>2018-2019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 xml:space="preserve"> Pediatric Clinical Quality</w:t>
            </w:r>
            <w:r w:rsidRPr="002E6E81">
              <w:rPr>
                <w:rStyle w:val="Hyperlink"/>
                <w:noProof/>
                <w:spacing w:val="-3"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>Measure</w:t>
            </w:r>
            <w:r w:rsidRPr="002E6E81">
              <w:rPr>
                <w:rStyle w:val="Hyperlink"/>
                <w:noProof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_Toc491263092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DAE2C" w14:textId="77777777" w:rsidR="00C8471E" w:rsidRDefault="00D83B6F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t xml:space="preserve">Clinical Quality </w:t>
          </w:r>
          <w:hyperlink w:anchor="_Toc491263093" w:history="1">
            <w:r w:rsidR="00C8471E" w:rsidRPr="002E6E81">
              <w:rPr>
                <w:rStyle w:val="Hyperlink"/>
                <w:noProof/>
                <w:spacing w:val="-1"/>
              </w:rPr>
              <w:t xml:space="preserve">Measures and </w:t>
            </w:r>
            <w:r w:rsidR="00C8471E" w:rsidRPr="002E6E81">
              <w:rPr>
                <w:rStyle w:val="Hyperlink"/>
                <w:noProof/>
                <w:spacing w:val="-12"/>
              </w:rPr>
              <w:t>Thresholds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2D" w14:textId="77777777" w:rsidR="00C8471E" w:rsidRDefault="00D6626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5" w:history="1">
            <w:r w:rsidR="00C8471E" w:rsidRPr="002E6E81">
              <w:rPr>
                <w:rStyle w:val="Hyperlink"/>
                <w:noProof/>
                <w:spacing w:val="-1"/>
              </w:rPr>
              <w:t>Timing</w:t>
            </w:r>
            <w:r w:rsidR="00C8471E" w:rsidRPr="002E6E81">
              <w:rPr>
                <w:rStyle w:val="Hyperlink"/>
                <w:noProof/>
                <w:spacing w:val="-15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4"/>
              </w:rPr>
              <w:t xml:space="preserve"> </w:t>
            </w:r>
            <w:r w:rsidR="00D83B6F">
              <w:rPr>
                <w:rStyle w:val="Hyperlink"/>
                <w:noProof/>
              </w:rPr>
              <w:t>A</w:t>
            </w:r>
            <w:r w:rsidR="00C8471E" w:rsidRPr="002E6E81">
              <w:rPr>
                <w:rStyle w:val="Hyperlink"/>
                <w:noProof/>
              </w:rPr>
              <w:t>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_Toc491263095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2E" w14:textId="77777777" w:rsidR="00C8471E" w:rsidRDefault="00D6626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6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_Toc491263096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2F" w14:textId="77777777" w:rsidR="00C8471E" w:rsidRDefault="00D66261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7" w:history="1">
            <w:r w:rsidR="004B3D74">
              <w:rPr>
                <w:rStyle w:val="Hyperlink"/>
                <w:noProof/>
                <w:spacing w:val="-1"/>
                <w:u w:color="365F91"/>
              </w:rPr>
              <w:t>2018-2019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 CAHPS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PCMH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Survey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_Toc491263097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30" w14:textId="77777777" w:rsidR="00C8471E" w:rsidRDefault="00D6626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8" w:history="1">
            <w:r w:rsidR="00C8471E" w:rsidRPr="002E6E81">
              <w:rPr>
                <w:rStyle w:val="Hyperlink"/>
                <w:noProof/>
              </w:rPr>
              <w:t>Timing</w:t>
            </w:r>
            <w:r w:rsidR="00C8471E" w:rsidRPr="002E6E81">
              <w:rPr>
                <w:rStyle w:val="Hyperlink"/>
                <w:noProof/>
                <w:spacing w:val="-12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surveys</w:t>
            </w:r>
            <w:r w:rsidR="00C8471E" w:rsidRPr="002E6E81">
              <w:rPr>
                <w:rStyle w:val="Hyperlink"/>
                <w:noProof/>
                <w:spacing w:val="-9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and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adjudication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_Toc491263098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31" w14:textId="77777777" w:rsidR="00C8471E" w:rsidRDefault="00D6626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9" w:history="1">
            <w:r w:rsidR="00C8471E" w:rsidRPr="002E6E81">
              <w:rPr>
                <w:rStyle w:val="Hyperlink"/>
                <w:noProof/>
                <w:spacing w:val="-1"/>
              </w:rPr>
              <w:t>Details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6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data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review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_Toc491263099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32" w14:textId="77777777" w:rsidR="00C8471E" w:rsidRDefault="00D6626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0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_Toc491263100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33" w14:textId="77777777" w:rsidR="00C8471E" w:rsidRDefault="00D66261">
          <w:pPr>
            <w:pStyle w:val="TOC1"/>
            <w:tabs>
              <w:tab w:val="left" w:pos="1320"/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1" w:history="1">
            <w:r w:rsidR="004B3D74">
              <w:rPr>
                <w:rStyle w:val="Hyperlink"/>
                <w:noProof/>
              </w:rPr>
              <w:t>2018-2019</w:t>
            </w:r>
            <w:r w:rsidR="00C8471E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>Utilization Measure: Emergency Department Utilization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_Toc491263101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5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34" w14:textId="77777777" w:rsidR="00C8471E" w:rsidRDefault="00D66261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2" w:history="1">
            <w:r w:rsidR="00C8471E" w:rsidRPr="002E6E81">
              <w:rPr>
                <w:rStyle w:val="Hyperlink"/>
                <w:noProof/>
                <w:spacing w:val="-1"/>
                <w:u w:color="365F91"/>
              </w:rPr>
              <w:t>Other Policies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_Toc491263102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35" w14:textId="77777777" w:rsidR="00C8471E" w:rsidRDefault="00D66261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3" w:history="1">
            <w:r w:rsidR="00C8471E" w:rsidRPr="002E6E81">
              <w:rPr>
                <w:rStyle w:val="Hyperlink"/>
                <w:noProof/>
                <w:spacing w:val="-1"/>
              </w:rPr>
              <w:t>CAHPS PCMH Patient Satisfaction Survey Policy for use of alternate vendors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14:paraId="7A4DAE36" w14:textId="77777777" w:rsidR="00C8471E" w:rsidRDefault="00C8471E">
          <w:r>
            <w:rPr>
              <w:b/>
              <w:bCs/>
              <w:noProof/>
            </w:rPr>
            <w:fldChar w:fldCharType="end"/>
          </w:r>
        </w:p>
      </w:sdtContent>
    </w:sdt>
    <w:p w14:paraId="7A4DAE37" w14:textId="77777777" w:rsidR="00D612B1" w:rsidRDefault="00D612B1">
      <w:pPr>
        <w:sectPr w:rsidR="00D612B1">
          <w:footerReference w:type="default" r:id="rId8"/>
          <w:type w:val="continuous"/>
          <w:pgSz w:w="12240" w:h="15840"/>
          <w:pgMar w:top="1440" w:right="1300" w:bottom="1200" w:left="1300" w:header="720" w:footer="1017" w:gutter="0"/>
          <w:pgNumType w:start="1"/>
          <w:cols w:space="720"/>
        </w:sectPr>
      </w:pPr>
    </w:p>
    <w:p w14:paraId="7A4DAE38" w14:textId="77777777" w:rsidR="00D612B1" w:rsidRDefault="004B3D74">
      <w:pPr>
        <w:pStyle w:val="Heading1"/>
        <w:ind w:left="1856"/>
        <w:rPr>
          <w:b w:val="0"/>
          <w:bCs w:val="0"/>
          <w:u w:val="none"/>
        </w:rPr>
      </w:pPr>
      <w:bookmarkStart w:id="1" w:name="2016-2017_Adult_Clinical_Quality_Measure"/>
      <w:bookmarkStart w:id="2" w:name="_Toc491263092"/>
      <w:bookmarkEnd w:id="1"/>
      <w:r>
        <w:rPr>
          <w:color w:val="365F91"/>
          <w:spacing w:val="-1"/>
          <w:u w:val="thick" w:color="365F91"/>
        </w:rPr>
        <w:lastRenderedPageBreak/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86C65">
        <w:rPr>
          <w:color w:val="365F91"/>
          <w:spacing w:val="-1"/>
          <w:u w:val="thick" w:color="365F91"/>
        </w:rPr>
        <w:t xml:space="preserve"> </w:t>
      </w:r>
      <w:r w:rsidR="00320496">
        <w:rPr>
          <w:color w:val="365F91"/>
          <w:spacing w:val="-1"/>
          <w:u w:val="thick" w:color="365F91"/>
        </w:rPr>
        <w:t>Pediatric</w:t>
      </w:r>
      <w:r w:rsidR="00886C65">
        <w:rPr>
          <w:color w:val="365F91"/>
          <w:spacing w:val="-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2"/>
    </w:p>
    <w:p w14:paraId="7A4DAE39" w14:textId="77777777" w:rsid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bookmarkStart w:id="3" w:name="Measures,_Thresholds,_and_retirement_of_"/>
      <w:bookmarkStart w:id="4" w:name="_Toc491263093"/>
      <w:bookmarkEnd w:id="3"/>
      <w:r>
        <w:rPr>
          <w:b w:val="0"/>
          <w:spacing w:val="-1"/>
          <w:sz w:val="24"/>
          <w:szCs w:val="24"/>
        </w:rPr>
        <w:t xml:space="preserve">PCMH Kids practices are eligible to achieve performance incentive payments based </w:t>
      </w:r>
      <w:r w:rsidR="006600F1">
        <w:rPr>
          <w:b w:val="0"/>
          <w:spacing w:val="-1"/>
          <w:sz w:val="24"/>
          <w:szCs w:val="24"/>
        </w:rPr>
        <w:t xml:space="preserve">on meeting 3 out of 4 </w:t>
      </w:r>
      <w:r w:rsidR="00C30504">
        <w:rPr>
          <w:b w:val="0"/>
          <w:spacing w:val="-1"/>
          <w:sz w:val="24"/>
          <w:szCs w:val="24"/>
        </w:rPr>
        <w:t>performance measures</w:t>
      </w:r>
      <w:r>
        <w:rPr>
          <w:b w:val="0"/>
          <w:spacing w:val="-1"/>
          <w:sz w:val="24"/>
          <w:szCs w:val="24"/>
        </w:rPr>
        <w:t xml:space="preserve"> thresholds: 2 of which can be clinical quality </w:t>
      </w:r>
      <w:r w:rsidR="00C30504">
        <w:rPr>
          <w:b w:val="0"/>
          <w:spacing w:val="-1"/>
          <w:sz w:val="24"/>
          <w:szCs w:val="24"/>
        </w:rPr>
        <w:t>measures,</w:t>
      </w:r>
      <w:r>
        <w:rPr>
          <w:b w:val="0"/>
          <w:spacing w:val="-1"/>
          <w:sz w:val="24"/>
          <w:szCs w:val="24"/>
        </w:rPr>
        <w:t xml:space="preserve"> one can be customer experience measure (2 out of 3 measures for access, communication and office as defined below) and 1 utilization measure (ED usage compared with comparison group). </w:t>
      </w:r>
      <w:r w:rsidR="00502236">
        <w:rPr>
          <w:b w:val="0"/>
          <w:spacing w:val="-1"/>
          <w:sz w:val="24"/>
          <w:szCs w:val="24"/>
        </w:rPr>
        <w:t>Note: some measures have different targets for practices where 50% or more patient</w:t>
      </w:r>
      <w:r w:rsidR="00B24784">
        <w:rPr>
          <w:b w:val="0"/>
          <w:spacing w:val="-1"/>
          <w:sz w:val="24"/>
          <w:szCs w:val="24"/>
        </w:rPr>
        <w:t>s are covered by Medicaid than those</w:t>
      </w:r>
      <w:r w:rsidR="00502236">
        <w:rPr>
          <w:b w:val="0"/>
          <w:spacing w:val="-1"/>
          <w:sz w:val="24"/>
          <w:szCs w:val="24"/>
        </w:rPr>
        <w:t xml:space="preserve"> </w:t>
      </w:r>
      <w:r w:rsidR="00B24784">
        <w:rPr>
          <w:b w:val="0"/>
          <w:spacing w:val="-1"/>
          <w:sz w:val="24"/>
          <w:szCs w:val="24"/>
        </w:rPr>
        <w:t xml:space="preserve">whose </w:t>
      </w:r>
      <w:r w:rsidR="00502236">
        <w:rPr>
          <w:b w:val="0"/>
          <w:spacing w:val="-1"/>
          <w:sz w:val="24"/>
          <w:szCs w:val="24"/>
        </w:rPr>
        <w:t xml:space="preserve">practices with a higher percentage of patients are covered by commercial plans. </w:t>
      </w:r>
    </w:p>
    <w:p w14:paraId="7A4DAE3A" w14:textId="77777777" w:rsidR="006722E8" w:rsidRP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The PCMH Pediatric </w:t>
      </w:r>
      <w:r w:rsidR="006600F1">
        <w:rPr>
          <w:b w:val="0"/>
          <w:spacing w:val="-1"/>
          <w:sz w:val="24"/>
          <w:szCs w:val="24"/>
        </w:rPr>
        <w:t xml:space="preserve">Performance </w:t>
      </w:r>
      <w:r>
        <w:rPr>
          <w:b w:val="0"/>
          <w:spacing w:val="-1"/>
          <w:sz w:val="24"/>
          <w:szCs w:val="24"/>
        </w:rPr>
        <w:t xml:space="preserve">Standards document provides guidance that defines the quality measures and methods for achieving success.  This document is updated on an annual basis.  </w:t>
      </w:r>
    </w:p>
    <w:p w14:paraId="7A4DAE3B" w14:textId="77777777" w:rsidR="009C1D60" w:rsidRDefault="006722E8" w:rsidP="009C1D60">
      <w:pPr>
        <w:pStyle w:val="Heading2"/>
        <w:spacing w:before="252"/>
        <w:ind w:firstLine="500"/>
        <w:rPr>
          <w:color w:val="4F81BD"/>
          <w:spacing w:val="-12"/>
        </w:rPr>
      </w:pPr>
      <w:r>
        <w:rPr>
          <w:color w:val="4F81BD"/>
          <w:spacing w:val="-1"/>
        </w:rPr>
        <w:t xml:space="preserve">Clinical Quality </w:t>
      </w:r>
      <w:r w:rsidR="00387ABC"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  <w:bookmarkEnd w:id="4"/>
    </w:p>
    <w:p w14:paraId="7A4DAE3C" w14:textId="77777777" w:rsidR="00FE4182" w:rsidRPr="009C1D60" w:rsidRDefault="004B3D74" w:rsidP="009C1D60">
      <w:pPr>
        <w:pStyle w:val="Heading2"/>
        <w:spacing w:before="252"/>
        <w:ind w:firstLine="500"/>
        <w:rPr>
          <w:b w:val="0"/>
          <w:bCs w:val="0"/>
        </w:rPr>
      </w:pPr>
      <w:bookmarkStart w:id="5" w:name="_Toc491263094"/>
      <w:r>
        <w:rPr>
          <w:b w:val="0"/>
        </w:rPr>
        <w:t xml:space="preserve">Practices are expected to use </w:t>
      </w:r>
      <w:r w:rsidR="00C30504">
        <w:rPr>
          <w:b w:val="0"/>
        </w:rPr>
        <w:t xml:space="preserve">this </w:t>
      </w:r>
      <w:hyperlink r:id="rId9" w:tgtFrame="_blank" w:history="1">
        <w:r w:rsidRPr="00C30504">
          <w:rPr>
            <w:rStyle w:val="Hyperlink"/>
            <w:b w:val="0"/>
          </w:rPr>
          <w:t xml:space="preserve">Measurement Specification Definitions </w:t>
        </w:r>
        <w:r w:rsidR="00C30504" w:rsidRPr="00C30504">
          <w:rPr>
            <w:rStyle w:val="Hyperlink"/>
            <w:b w:val="0"/>
          </w:rPr>
          <w:t>document</w:t>
        </w:r>
      </w:hyperlink>
      <w:r>
        <w:rPr>
          <w:b w:val="0"/>
        </w:rPr>
        <w:t xml:space="preserve"> when reporting on clinical performance results. </w:t>
      </w:r>
      <w:r w:rsidR="008309C5" w:rsidRPr="009C1D60">
        <w:rPr>
          <w:b w:val="0"/>
        </w:rPr>
        <w:t>The</w:t>
      </w:r>
      <w:r w:rsidR="008309C5" w:rsidRPr="009C1D60">
        <w:rPr>
          <w:b w:val="0"/>
          <w:spacing w:val="-4"/>
        </w:rPr>
        <w:t xml:space="preserve"> </w:t>
      </w:r>
      <w:r w:rsidR="00FE4182" w:rsidRPr="009C1D60">
        <w:rPr>
          <w:b w:val="0"/>
        </w:rPr>
        <w:t>following</w:t>
      </w:r>
      <w:r w:rsidR="00FE4182" w:rsidRPr="009C1D60">
        <w:rPr>
          <w:b w:val="0"/>
          <w:spacing w:val="-4"/>
        </w:rPr>
        <w:t xml:space="preserve"> </w:t>
      </w:r>
      <w:r w:rsidR="00FE4182" w:rsidRPr="009C1D60">
        <w:rPr>
          <w:b w:val="0"/>
          <w:spacing w:val="-1"/>
        </w:rPr>
        <w:t>measures</w:t>
      </w:r>
      <w:r w:rsidR="00FE4182" w:rsidRPr="009C1D60">
        <w:rPr>
          <w:b w:val="0"/>
          <w:spacing w:val="-5"/>
        </w:rPr>
        <w:t xml:space="preserve"> and targets will be used for performance evaluation</w:t>
      </w:r>
      <w:bookmarkEnd w:id="5"/>
      <w:r w:rsidR="005B28A1">
        <w:rPr>
          <w:b w:val="0"/>
          <w:spacing w:val="-5"/>
        </w:rPr>
        <w:t>:</w:t>
      </w:r>
    </w:p>
    <w:p w14:paraId="7A4DAE3D" w14:textId="77777777"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9016" w:type="dxa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530"/>
        <w:gridCol w:w="1710"/>
        <w:gridCol w:w="1530"/>
        <w:gridCol w:w="2490"/>
      </w:tblGrid>
      <w:tr w:rsidR="00910825" w:rsidRPr="00387ABC" w14:paraId="7A4DAE45" w14:textId="77777777" w:rsidTr="00910825">
        <w:trPr>
          <w:trHeight w:hRule="exact" w:val="1473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14:paraId="7A4DAE3E" w14:textId="77777777" w:rsidR="00910825" w:rsidRPr="00387ABC" w:rsidRDefault="00910825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Clinical Quality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14:paraId="7A4DAE3F" w14:textId="77777777" w:rsidR="00910825" w:rsidRPr="00387ABC" w:rsidRDefault="00910825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2017-2018 Threshold </w:t>
            </w:r>
          </w:p>
          <w:p w14:paraId="7A4DAE40" w14:textId="77777777" w:rsidR="00910825" w:rsidRPr="00CD0970" w:rsidRDefault="00910825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14:paraId="7A4DAE41" w14:textId="77777777" w:rsidR="00910825" w:rsidRPr="00387ABC" w:rsidRDefault="00910825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Threshold 50% more Medicaid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14:paraId="7A4DAE42" w14:textId="77777777" w:rsidR="00910825" w:rsidRDefault="00910825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</w:t>
            </w:r>
          </w:p>
          <w:p w14:paraId="7A4DAE43" w14:textId="77777777" w:rsidR="00910825" w:rsidRPr="00387ABC" w:rsidRDefault="00910825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Threshold 50% less Medicaid 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4" w:space="0" w:color="auto"/>
            </w:tcBorders>
            <w:shd w:val="clear" w:color="auto" w:fill="95B3D7" w:themeFill="accent1" w:themeFillTint="99"/>
          </w:tcPr>
          <w:p w14:paraId="7A4DAE44" w14:textId="77777777" w:rsidR="00910825" w:rsidRPr="00387ABC" w:rsidRDefault="00910825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910825" w:rsidRPr="00387ABC" w14:paraId="7A4DAE4B" w14:textId="77777777" w:rsidTr="00910825">
        <w:trPr>
          <w:trHeight w:hRule="exact" w:val="1049"/>
        </w:trPr>
        <w:tc>
          <w:tcPr>
            <w:tcW w:w="175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4DAE46" w14:textId="77777777" w:rsidR="00910825" w:rsidRPr="00387ABC" w:rsidRDefault="00910825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Child and Adolescent BMI and plan of care 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4DAE47" w14:textId="77777777"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76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4DAE48" w14:textId="77777777"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4DAE49" w14:textId="77777777"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90% </w:t>
            </w:r>
          </w:p>
        </w:tc>
        <w:tc>
          <w:tcPr>
            <w:tcW w:w="24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7A4DAE4A" w14:textId="77777777"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</w:p>
        </w:tc>
      </w:tr>
      <w:tr w:rsidR="00910825" w:rsidRPr="00387ABC" w14:paraId="7A4DAE51" w14:textId="77777777" w:rsidTr="00910825">
        <w:trPr>
          <w:trHeight w:hRule="exact" w:val="1388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4DAE4C" w14:textId="77777777" w:rsidR="00910825" w:rsidRPr="00387ABC" w:rsidRDefault="00910825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Developmental Screening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4DAE4D" w14:textId="77777777"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4DAE4E" w14:textId="77777777"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4DAE4F" w14:textId="77777777"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77%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7A4DAE50" w14:textId="77777777"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 </w:t>
            </w:r>
          </w:p>
        </w:tc>
      </w:tr>
      <w:tr w:rsidR="00910825" w:rsidRPr="00387ABC" w14:paraId="7A4DAE57" w14:textId="77777777" w:rsidTr="00910825">
        <w:trPr>
          <w:trHeight w:hRule="exact" w:val="812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4DAE52" w14:textId="77777777" w:rsidR="00910825" w:rsidRPr="00387ABC" w:rsidRDefault="00910825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Well child visits and adolescents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4DAE53" w14:textId="77777777"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N/A 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4DAE54" w14:textId="77777777"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4DAE55" w14:textId="77777777"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14:paraId="7A4DAE56" w14:textId="77777777"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1</w:t>
            </w:r>
            <w:r w:rsidRPr="004B3D74">
              <w:rPr>
                <w:rFonts w:asci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/>
                <w:sz w:val="20"/>
                <w:szCs w:val="20"/>
              </w:rPr>
              <w:t xml:space="preserve"> report is due to CTC and to OHIC 10/15/18</w:t>
            </w:r>
          </w:p>
        </w:tc>
      </w:tr>
    </w:tbl>
    <w:p w14:paraId="7A4DAE58" w14:textId="77777777"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6" w:name="Timing_for_adjudication"/>
      <w:bookmarkEnd w:id="6"/>
    </w:p>
    <w:p w14:paraId="7A4DAE59" w14:textId="77777777" w:rsidR="004B4F7A" w:rsidRDefault="008309C5" w:rsidP="00FE4182">
      <w:pPr>
        <w:pStyle w:val="Heading2"/>
        <w:ind w:firstLine="500"/>
        <w:rPr>
          <w:color w:val="4F81BD"/>
        </w:rPr>
      </w:pPr>
      <w:bookmarkStart w:id="7" w:name="_Toc491263095"/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adjudication</w:t>
      </w:r>
      <w:bookmarkEnd w:id="7"/>
    </w:p>
    <w:p w14:paraId="7A4DAE5A" w14:textId="77777777" w:rsidR="0035335F" w:rsidRPr="0035335F" w:rsidRDefault="0035335F" w:rsidP="00FE4182">
      <w:pPr>
        <w:pStyle w:val="Heading2"/>
        <w:ind w:firstLine="500"/>
        <w:rPr>
          <w:color w:val="4F81BD"/>
        </w:rPr>
      </w:pPr>
    </w:p>
    <w:p w14:paraId="7A4DAE5B" w14:textId="77777777" w:rsidR="00D612B1" w:rsidRDefault="008309C5" w:rsidP="0012062B">
      <w:pPr>
        <w:spacing w:before="42" w:line="278" w:lineRule="auto"/>
        <w:ind w:left="1080" w:right="1610" w:hanging="360"/>
        <w:rPr>
          <w:rFonts w:ascii="Calibri" w:eastAsia="Calibri" w:hAnsi="Calibri" w:cs="Calibri"/>
        </w:rPr>
      </w:pPr>
      <w:r w:rsidRPr="0012062B">
        <w:rPr>
          <w:rFonts w:ascii="Calibri"/>
          <w:sz w:val="24"/>
          <w:szCs w:val="24"/>
        </w:rPr>
        <w:t>1.</w:t>
      </w:r>
      <w:r w:rsidR="000A6ABF"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41"/>
          <w:sz w:val="24"/>
        </w:rPr>
        <w:t xml:space="preserve"> </w:t>
      </w:r>
      <w:r w:rsidRPr="0012062B">
        <w:rPr>
          <w:rFonts w:ascii="Calibri"/>
          <w:sz w:val="24"/>
        </w:rPr>
        <w:t>Q1</w:t>
      </w:r>
      <w:r w:rsidRPr="0012062B">
        <w:rPr>
          <w:rFonts w:ascii="Calibri"/>
          <w:spacing w:val="-1"/>
          <w:sz w:val="24"/>
        </w:rPr>
        <w:t xml:space="preserve"> </w:t>
      </w:r>
      <w:r w:rsidR="004B3D74">
        <w:rPr>
          <w:rFonts w:ascii="Calibri"/>
          <w:spacing w:val="-1"/>
          <w:sz w:val="24"/>
        </w:rPr>
        <w:t>2019</w:t>
      </w:r>
      <w:r w:rsidRPr="0012062B">
        <w:rPr>
          <w:rFonts w:ascii="Calibri"/>
          <w:spacing w:val="-1"/>
          <w:sz w:val="24"/>
        </w:rPr>
        <w:t xml:space="preserve"> data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will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be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used 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contract</w:t>
      </w:r>
      <w:r w:rsidRPr="0012062B">
        <w:rPr>
          <w:rFonts w:ascii="Calibri"/>
          <w:spacing w:val="1"/>
          <w:sz w:val="24"/>
        </w:rPr>
        <w:t xml:space="preserve"> </w:t>
      </w:r>
      <w:r w:rsidR="00502236" w:rsidRPr="0012062B">
        <w:rPr>
          <w:rFonts w:ascii="Calibri"/>
          <w:spacing w:val="-1"/>
          <w:sz w:val="24"/>
        </w:rPr>
        <w:t xml:space="preserve">adjudication. </w:t>
      </w:r>
      <w:r w:rsidR="00502236">
        <w:rPr>
          <w:rFonts w:ascii="Calibri"/>
          <w:spacing w:val="-1"/>
          <w:sz w:val="24"/>
        </w:rPr>
        <w:t>Practices will be eligible for incentive payment based on performance year and payment schedule identified in the common contract.   CTC will notify health plans about the incentive payment practice r</w:t>
      </w:r>
      <w:r w:rsidR="00502236" w:rsidRPr="0012062B">
        <w:rPr>
          <w:rFonts w:ascii="Calibri"/>
          <w:spacing w:val="-1"/>
          <w:sz w:val="24"/>
        </w:rPr>
        <w:t>ates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FY</w:t>
      </w:r>
      <w:r w:rsidRPr="0012062B">
        <w:rPr>
          <w:rFonts w:ascii="Calibri"/>
          <w:spacing w:val="-2"/>
          <w:sz w:val="24"/>
        </w:rPr>
        <w:t xml:space="preserve"> </w:t>
      </w:r>
      <w:r w:rsidR="00502236">
        <w:rPr>
          <w:rFonts w:ascii="Calibri"/>
          <w:spacing w:val="-1"/>
          <w:sz w:val="24"/>
        </w:rPr>
        <w:t>2020</w:t>
      </w:r>
      <w:r w:rsidR="00502236" w:rsidRPr="0012062B">
        <w:rPr>
          <w:rFonts w:ascii="Calibri"/>
          <w:spacing w:val="-4"/>
          <w:sz w:val="24"/>
        </w:rPr>
        <w:t xml:space="preserve"> </w:t>
      </w:r>
      <w:r w:rsidR="00502236" w:rsidRPr="0012062B">
        <w:rPr>
          <w:rFonts w:ascii="Calibri"/>
          <w:spacing w:val="1"/>
          <w:sz w:val="24"/>
        </w:rPr>
        <w:t>by</w:t>
      </w:r>
      <w:r w:rsidRPr="0012062B">
        <w:rPr>
          <w:rFonts w:ascii="Calibri"/>
          <w:spacing w:val="57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05/31/</w:t>
      </w:r>
      <w:r w:rsidR="004B3D74">
        <w:rPr>
          <w:rFonts w:ascii="Calibri"/>
          <w:spacing w:val="-1"/>
          <w:sz w:val="24"/>
        </w:rPr>
        <w:t>2019.</w:t>
      </w:r>
    </w:p>
    <w:p w14:paraId="7A4DAE5C" w14:textId="77777777"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8" w:name="_Toc491263096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bookmarkEnd w:id="8"/>
      <w:r w:rsidR="0035335F">
        <w:rPr>
          <w:color w:val="4F81BD"/>
          <w:spacing w:val="-1"/>
        </w:rPr>
        <w:br/>
      </w:r>
    </w:p>
    <w:p w14:paraId="7A4DAE5D" w14:textId="77777777" w:rsidR="00D612B1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before="45" w:line="276" w:lineRule="auto"/>
        <w:ind w:left="1080"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0C61E6">
        <w:rPr>
          <w:spacing w:val="-1"/>
        </w:rPr>
        <w:t>2018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0C61E6">
        <w:rPr>
          <w:spacing w:val="-1"/>
        </w:rPr>
        <w:t>2017</w:t>
      </w:r>
      <w:r>
        <w:rPr>
          <w:spacing w:val="-1"/>
        </w:rPr>
        <w:t>-</w:t>
      </w:r>
      <w:r w:rsidR="000C61E6">
        <w:rPr>
          <w:spacing w:val="-1"/>
        </w:rPr>
        <w:t>2018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4B3D74">
        <w:rPr>
          <w:b/>
          <w:spacing w:val="-1"/>
        </w:rPr>
        <w:t>2018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4B3D74">
        <w:rPr>
          <w:b/>
          <w:spacing w:val="-1"/>
        </w:rPr>
        <w:lastRenderedPageBreak/>
        <w:t>2018</w:t>
      </w:r>
      <w:r>
        <w:rPr>
          <w:b/>
          <w:spacing w:val="-1"/>
        </w:rPr>
        <w:t>-</w:t>
      </w:r>
      <w:r w:rsidR="004B3D74">
        <w:rPr>
          <w:b/>
        </w:rPr>
        <w:t>2019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4B3D74">
        <w:rPr>
          <w:spacing w:val="-1"/>
        </w:rPr>
        <w:t>2018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2.5%</w:t>
      </w:r>
      <w:r>
        <w:rPr>
          <w:spacing w:val="-5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4B3D74">
        <w:rPr>
          <w:spacing w:val="-1"/>
        </w:rPr>
        <w:t>2018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14:paraId="7A4DAE5E" w14:textId="77777777" w:rsidR="0035335F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line="276" w:lineRule="auto"/>
        <w:ind w:left="1080"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14:paraId="7A4DAE5F" w14:textId="77777777" w:rsidR="00D612B1" w:rsidRDefault="008309C5" w:rsidP="00620864">
      <w:pPr>
        <w:pStyle w:val="BodyText"/>
        <w:numPr>
          <w:ilvl w:val="1"/>
          <w:numId w:val="4"/>
        </w:numPr>
        <w:tabs>
          <w:tab w:val="left" w:pos="1620"/>
        </w:tabs>
        <w:spacing w:line="277" w:lineRule="auto"/>
        <w:ind w:left="1620" w:right="2111" w:hanging="540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</w:t>
      </w:r>
      <w:r w:rsidR="00CA388A">
        <w:rPr>
          <w:spacing w:val="-1"/>
        </w:rPr>
        <w:t xml:space="preserve"> and Performance Year 2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 w:rsidR="00CA388A">
        <w:rPr>
          <w:spacing w:val="-1"/>
        </w:rPr>
        <w:t xml:space="preserve">4 quality measures two of which can be the clinical quality measures. </w:t>
      </w:r>
    </w:p>
    <w:p w14:paraId="7A4DAE60" w14:textId="77777777" w:rsidR="00D612B1" w:rsidRPr="0035335F" w:rsidRDefault="00D612B1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  <w:sectPr w:rsidR="00D612B1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14:paraId="7A4DAE61" w14:textId="77777777" w:rsidR="00D612B1" w:rsidRDefault="004B3D74" w:rsidP="00FE4182">
      <w:pPr>
        <w:pStyle w:val="Heading1"/>
        <w:ind w:left="1604"/>
        <w:rPr>
          <w:b w:val="0"/>
          <w:bCs w:val="0"/>
          <w:u w:val="none"/>
        </w:rPr>
      </w:pPr>
      <w:bookmarkStart w:id="9" w:name="2016-2017_CAHPS_PCMH_Survey_Recommendati"/>
      <w:bookmarkStart w:id="10" w:name="_Toc491263097"/>
      <w:bookmarkEnd w:id="9"/>
      <w:r>
        <w:rPr>
          <w:color w:val="365F91"/>
          <w:spacing w:val="-1"/>
          <w:u w:val="thick" w:color="365F91"/>
        </w:rPr>
        <w:lastRenderedPageBreak/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10"/>
    </w:p>
    <w:p w14:paraId="7A4DAE62" w14:textId="77777777"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14:paraId="7A4DAE63" w14:textId="77777777" w:rsidR="00D612B1" w:rsidRDefault="008309C5" w:rsidP="006D33E0">
      <w:pPr>
        <w:pStyle w:val="Heading2"/>
        <w:ind w:hanging="130"/>
        <w:rPr>
          <w:color w:val="4F81BD"/>
          <w:spacing w:val="-1"/>
        </w:rPr>
      </w:pPr>
      <w:bookmarkStart w:id="11" w:name="Timing_for_surveys_and_adjudication"/>
      <w:bookmarkStart w:id="12" w:name="_Toc491263098"/>
      <w:bookmarkEnd w:id="11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  <w:bookmarkEnd w:id="12"/>
    </w:p>
    <w:p w14:paraId="7A4DAE64" w14:textId="77777777" w:rsidR="006D33E0" w:rsidRDefault="006D33E0" w:rsidP="006D33E0">
      <w:pPr>
        <w:pStyle w:val="Heading2"/>
        <w:ind w:hanging="130"/>
        <w:rPr>
          <w:b w:val="0"/>
          <w:bCs w:val="0"/>
        </w:rPr>
      </w:pPr>
    </w:p>
    <w:p w14:paraId="7A4DAE65" w14:textId="77777777" w:rsidR="00D612B1" w:rsidRDefault="008309C5" w:rsidP="006D33E0">
      <w:pPr>
        <w:pStyle w:val="BodyText"/>
        <w:tabs>
          <w:tab w:val="left" w:pos="450"/>
        </w:tabs>
        <w:spacing w:before="45"/>
        <w:ind w:left="45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4B3D74">
        <w:rPr>
          <w:spacing w:val="-1"/>
        </w:rPr>
        <w:t>2018</w:t>
      </w:r>
      <w:r>
        <w:rPr>
          <w:spacing w:val="-1"/>
        </w:rPr>
        <w:t>.</w:t>
      </w:r>
    </w:p>
    <w:p w14:paraId="7A4DAE66" w14:textId="77777777"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14:paraId="7A4DAE67" w14:textId="77777777"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14:paraId="7A4DAE68" w14:textId="77777777" w:rsidR="00D612B1" w:rsidRDefault="008309C5" w:rsidP="00FB4FB7">
      <w:pPr>
        <w:pStyle w:val="Heading2"/>
        <w:spacing w:before="0"/>
        <w:ind w:hanging="130"/>
        <w:rPr>
          <w:b w:val="0"/>
          <w:bCs w:val="0"/>
        </w:rPr>
      </w:pPr>
      <w:bookmarkStart w:id="13" w:name="Details_of_data_review"/>
      <w:bookmarkStart w:id="14" w:name="_Toc491263099"/>
      <w:bookmarkEnd w:id="13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  <w:bookmarkEnd w:id="14"/>
    </w:p>
    <w:p w14:paraId="7A4DAE69" w14:textId="77777777" w:rsidR="00D612B1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spacing w:before="47" w:line="275" w:lineRule="auto"/>
        <w:ind w:left="450"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14:paraId="7A4DAE6A" w14:textId="77777777" w:rsidR="00D612B1" w:rsidRPr="005936AB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ind w:left="450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performance 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B24784">
        <w:rPr>
          <w:spacing w:val="-1"/>
        </w:rPr>
        <w:t xml:space="preserve">. </w:t>
      </w:r>
      <w:r w:rsidR="00C30504">
        <w:rPr>
          <w:spacing w:val="-1"/>
        </w:rPr>
        <w:t>A practice</w:t>
      </w:r>
      <w:r w:rsidR="00B24784">
        <w:rPr>
          <w:spacing w:val="-1"/>
        </w:rPr>
        <w:t xml:space="preserve"> </w:t>
      </w:r>
      <w:r w:rsidR="00502236">
        <w:rPr>
          <w:spacing w:val="-1"/>
        </w:rPr>
        <w:t xml:space="preserve">having patients with </w:t>
      </w:r>
      <w:r w:rsidR="00B24784">
        <w:rPr>
          <w:spacing w:val="-1"/>
        </w:rPr>
        <w:t>50% more Medicaid has</w:t>
      </w:r>
      <w:r w:rsidR="00502236">
        <w:rPr>
          <w:spacing w:val="-1"/>
        </w:rPr>
        <w:t xml:space="preserve"> a different threshold than practices with 50% more patients with commercial coverage. </w:t>
      </w:r>
    </w:p>
    <w:p w14:paraId="7A4DAE6B" w14:textId="77777777" w:rsidR="004B4F7A" w:rsidRPr="00CD0970" w:rsidRDefault="004B4F7A" w:rsidP="005B28A1">
      <w:pPr>
        <w:tabs>
          <w:tab w:val="left" w:pos="450"/>
        </w:tabs>
        <w:spacing w:before="45" w:line="275" w:lineRule="auto"/>
        <w:ind w:right="263"/>
        <w:rPr>
          <w:rFonts w:ascii="Calibri" w:eastAsia="Calibri" w:hAnsi="Calibri" w:cs="Calibri"/>
          <w:sz w:val="24"/>
          <w:szCs w:val="24"/>
        </w:rPr>
      </w:pPr>
    </w:p>
    <w:p w14:paraId="7A4DAE6C" w14:textId="77777777" w:rsidR="004B4F7A" w:rsidRPr="0061701A" w:rsidRDefault="005B28A1" w:rsidP="00FB4FB7">
      <w:pPr>
        <w:spacing w:before="199"/>
        <w:ind w:left="220" w:hanging="130"/>
        <w:rPr>
          <w:rFonts w:ascii="Cambria"/>
          <w:b/>
          <w:color w:val="4F81BD"/>
          <w:spacing w:val="-1"/>
          <w:sz w:val="26"/>
        </w:rPr>
      </w:pPr>
      <w:bookmarkStart w:id="15" w:name="Thresholds_for_07/01/2017_Adjudication"/>
      <w:bookmarkEnd w:id="15"/>
      <w:r>
        <w:rPr>
          <w:rFonts w:ascii="Cambria"/>
          <w:b/>
          <w:color w:val="4F81BD"/>
          <w:spacing w:val="-1"/>
          <w:sz w:val="26"/>
        </w:rPr>
        <w:t xml:space="preserve">Customer experience </w:t>
      </w:r>
      <w:r w:rsidR="008309C5">
        <w:rPr>
          <w:rFonts w:ascii="Cambria"/>
          <w:b/>
          <w:color w:val="4F81BD"/>
          <w:spacing w:val="-1"/>
          <w:sz w:val="26"/>
        </w:rPr>
        <w:t>Thresholds</w:t>
      </w:r>
      <w:r w:rsidR="008309C5">
        <w:rPr>
          <w:rFonts w:ascii="Cambria"/>
          <w:b/>
          <w:color w:val="4F81BD"/>
          <w:spacing w:val="-15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for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z w:val="26"/>
        </w:rPr>
        <w:t>07/01/</w:t>
      </w:r>
      <w:r w:rsidR="000C61E6">
        <w:rPr>
          <w:rFonts w:ascii="Cambria"/>
          <w:b/>
          <w:color w:val="4F81BD"/>
          <w:sz w:val="26"/>
        </w:rPr>
        <w:t>2018</w:t>
      </w:r>
      <w:r w:rsidR="004B3D74">
        <w:rPr>
          <w:rFonts w:ascii="Cambria"/>
          <w:b/>
          <w:color w:val="4F81BD"/>
          <w:sz w:val="26"/>
        </w:rPr>
        <w:t>-2019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Adjudication</w:t>
      </w:r>
    </w:p>
    <w:p w14:paraId="7A4DAE6D" w14:textId="77777777"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980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800"/>
        <w:gridCol w:w="2070"/>
        <w:gridCol w:w="1800"/>
        <w:gridCol w:w="2340"/>
      </w:tblGrid>
      <w:tr w:rsidR="008007C2" w:rsidRPr="004B4F7A" w14:paraId="7A4DAE75" w14:textId="77777777" w:rsidTr="008007C2">
        <w:trPr>
          <w:trHeight w:hRule="exact" w:val="113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7A4DAE6E" w14:textId="77777777"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Measure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7A4DAE6F" w14:textId="77777777" w:rsidR="008007C2" w:rsidRPr="00E82BAE" w:rsidRDefault="008007C2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>2017</w:t>
            </w: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-2018</w:t>
            </w:r>
          </w:p>
          <w:p w14:paraId="7A4DAE70" w14:textId="77777777" w:rsidR="008007C2" w:rsidRPr="00E82BAE" w:rsidRDefault="008007C2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 xml:space="preserve">Threshold </w:t>
            </w:r>
          </w:p>
          <w:p w14:paraId="7A4DAE71" w14:textId="77777777" w:rsidR="008007C2" w:rsidRPr="00E82BAE" w:rsidRDefault="008007C2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7A4DAE72" w14:textId="77777777" w:rsidR="008007C2" w:rsidRPr="00E82BAE" w:rsidRDefault="008007C2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more Medicaid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7A4DAE73" w14:textId="77777777" w:rsidR="008007C2" w:rsidRPr="00E82BAE" w:rsidRDefault="008007C2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less Medicaid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8DB3E2" w:themeFill="text2" w:themeFillTint="66"/>
          </w:tcPr>
          <w:p w14:paraId="7A4DAE74" w14:textId="77777777" w:rsidR="008007C2" w:rsidRPr="00E82BAE" w:rsidRDefault="008007C2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Comments</w:t>
            </w:r>
          </w:p>
        </w:tc>
      </w:tr>
      <w:tr w:rsidR="008007C2" w:rsidRPr="004B4F7A" w14:paraId="7A4DAE7B" w14:textId="77777777" w:rsidTr="008007C2">
        <w:trPr>
          <w:trHeight w:hRule="exact" w:val="35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AE76" w14:textId="77777777"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Access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AE77" w14:textId="77777777" w:rsidR="008007C2" w:rsidRPr="00E82BAE" w:rsidRDefault="008007C2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79%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AE78" w14:textId="77777777"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AE79" w14:textId="77777777"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A4DAE7A" w14:textId="77777777"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07C2" w:rsidRPr="004B4F7A" w14:paraId="7A4DAE81" w14:textId="77777777" w:rsidTr="008007C2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AE7C" w14:textId="77777777"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Communication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AE7D" w14:textId="77777777" w:rsidR="008007C2" w:rsidRPr="00E82BAE" w:rsidRDefault="008007C2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90%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AE7E" w14:textId="77777777"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AE7F" w14:textId="77777777"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A4DAE80" w14:textId="77777777"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07C2" w:rsidRPr="004B4F7A" w14:paraId="7A4DAE87" w14:textId="77777777" w:rsidTr="008007C2">
        <w:trPr>
          <w:trHeight w:hRule="exact" w:val="35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4DAE82" w14:textId="77777777"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Office</w:t>
            </w:r>
            <w:r w:rsidRPr="00E82BAE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Staff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4DAE83" w14:textId="77777777" w:rsidR="008007C2" w:rsidRPr="00E82BAE" w:rsidRDefault="008007C2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75%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4DAE84" w14:textId="77777777"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4DAE85" w14:textId="77777777"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7A4DAE86" w14:textId="77777777"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A4DAE88" w14:textId="77777777"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14:paraId="7A4DAE89" w14:textId="77777777" w:rsidR="005936AB" w:rsidRDefault="005936AB" w:rsidP="00FE4182">
      <w:pPr>
        <w:pStyle w:val="Heading2"/>
        <w:rPr>
          <w:color w:val="4F81BD"/>
          <w:spacing w:val="-1"/>
        </w:rPr>
      </w:pPr>
      <w:bookmarkStart w:id="16" w:name="Methods_for_successful_achievement_of_me"/>
      <w:bookmarkEnd w:id="16"/>
    </w:p>
    <w:p w14:paraId="7A4DAE8A" w14:textId="77777777" w:rsidR="00D612B1" w:rsidRDefault="008309C5" w:rsidP="00E82BAE">
      <w:pPr>
        <w:pStyle w:val="Heading2"/>
        <w:ind w:hanging="130"/>
        <w:rPr>
          <w:b w:val="0"/>
          <w:bCs w:val="0"/>
        </w:rPr>
      </w:pPr>
      <w:bookmarkStart w:id="17" w:name="_Toc491263100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 w:rsidR="005B28A1">
        <w:rPr>
          <w:color w:val="4F81BD"/>
          <w:spacing w:val="-1"/>
        </w:rPr>
        <w:t xml:space="preserve"> customer </w:t>
      </w:r>
      <w:bookmarkEnd w:id="17"/>
      <w:r w:rsidR="006722E8">
        <w:rPr>
          <w:color w:val="4F81BD"/>
          <w:spacing w:val="-1"/>
        </w:rPr>
        <w:t xml:space="preserve">experience </w:t>
      </w:r>
      <w:r w:rsidR="006722E8">
        <w:rPr>
          <w:color w:val="4F81BD"/>
          <w:spacing w:val="-10"/>
        </w:rPr>
        <w:t>measures</w:t>
      </w:r>
      <w:r w:rsidR="0053772D">
        <w:rPr>
          <w:color w:val="4F81BD"/>
          <w:spacing w:val="-1"/>
        </w:rPr>
        <w:br/>
      </w:r>
    </w:p>
    <w:p w14:paraId="7A4DAE8B" w14:textId="77777777" w:rsidR="00CA388A" w:rsidRPr="00CA388A" w:rsidRDefault="008309C5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1"/>
        </w:rPr>
        <w:t>Practices</w:t>
      </w:r>
      <w:r w:rsidR="00CA388A">
        <w:rPr>
          <w:spacing w:val="-3"/>
        </w:rPr>
        <w:t xml:space="preserve"> need to meet 2 out of the 3 measures in order to be considered as meeting the customer experience measure. </w:t>
      </w:r>
    </w:p>
    <w:p w14:paraId="7A4DAE8C" w14:textId="77777777" w:rsidR="00C1167C" w:rsidRPr="00CA388A" w:rsidRDefault="00CA388A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3"/>
        </w:rPr>
        <w:t>Access measure can be met by meeting threshold or demonstrating 2% improvement;</w:t>
      </w:r>
    </w:p>
    <w:p w14:paraId="7A4DAE8D" w14:textId="77777777" w:rsidR="00753CFE" w:rsidRPr="00CA388A" w:rsidRDefault="00753CFE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="00700AAB">
        <w:rPr>
          <w:spacing w:val="-1"/>
        </w:rPr>
        <w:t xml:space="preserve"> 2018 baseline to 2018-2019</w:t>
      </w:r>
      <w:r w:rsidRPr="00753CFE">
        <w:rPr>
          <w:spacing w:val="-1"/>
        </w:rPr>
        <w:t xml:space="preserve">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 w:rsidR="00700AAB">
        <w:rPr>
          <w:spacing w:val="-1"/>
        </w:rPr>
        <w:t>the 2018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>
        <w:rPr>
          <w:spacing w:val="-1"/>
        </w:rPr>
        <w:t>2.5%</w:t>
      </w:r>
      <w:r w:rsidRPr="00753CFE">
        <w:rPr>
          <w:spacing w:val="-1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700AAB">
        <w:rPr>
          <w:spacing w:val="-1"/>
        </w:rPr>
        <w:t>2018</w:t>
      </w:r>
      <w:r>
        <w:rPr>
          <w:spacing w:val="79"/>
          <w:w w:val="99"/>
        </w:rPr>
        <w:t xml:space="preserve"> </w:t>
      </w:r>
      <w:r w:rsidR="00C30504"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14:paraId="7A4DAE8E" w14:textId="77777777" w:rsidR="00CA388A" w:rsidRDefault="00CA388A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14:paraId="7A4DAE8F" w14:textId="77777777" w:rsidR="009C1D60" w:rsidRDefault="009C1D60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14:paraId="7A4DAE90" w14:textId="77777777"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14:paraId="7A4DAE91" w14:textId="77777777"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14:paraId="7A4DAE92" w14:textId="77777777"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14:paraId="7A4DAE93" w14:textId="77777777" w:rsidR="003D2D29" w:rsidRPr="00B24784" w:rsidRDefault="00700AAB" w:rsidP="00700AAB">
      <w:pPr>
        <w:pStyle w:val="Heading1"/>
        <w:ind w:left="1035"/>
        <w:rPr>
          <w:bCs w:val="0"/>
          <w:color w:val="1F497D" w:themeColor="text2"/>
          <w:u w:val="none"/>
        </w:rPr>
      </w:pPr>
      <w:bookmarkStart w:id="18" w:name="_Toc491263101"/>
      <w:r w:rsidRPr="00B24784">
        <w:rPr>
          <w:rFonts w:asciiTheme="majorHAnsi" w:eastAsia="Calibri" w:hAnsiTheme="majorHAnsi"/>
          <w:bCs w:val="0"/>
          <w:color w:val="1F497D" w:themeColor="text2"/>
          <w:spacing w:val="-1"/>
        </w:rPr>
        <w:t>2018-2019</w:t>
      </w:r>
      <w:r w:rsidRPr="00B24784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3D2D29" w:rsidRPr="00B24784">
        <w:rPr>
          <w:color w:val="1F497D" w:themeColor="text2"/>
          <w:spacing w:val="-1"/>
        </w:rPr>
        <w:t>Utilization</w:t>
      </w:r>
      <w:r w:rsidR="003D2D29" w:rsidRPr="00B24784">
        <w:rPr>
          <w:color w:val="1F497D" w:themeColor="text2"/>
          <w:spacing w:val="-1"/>
          <w:u w:val="thick" w:color="365F91"/>
        </w:rPr>
        <w:t xml:space="preserve"> Measure: Emergency Department Utilization</w:t>
      </w:r>
      <w:bookmarkEnd w:id="18"/>
    </w:p>
    <w:p w14:paraId="7A4DAE94" w14:textId="77777777" w:rsidR="009C1D60" w:rsidRDefault="009C1D60" w:rsidP="003D2D29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  <w:sz w:val="28"/>
          <w:szCs w:val="28"/>
          <w:u w:val="single"/>
        </w:rPr>
      </w:pPr>
    </w:p>
    <w:p w14:paraId="7A4DAE95" w14:textId="77777777" w:rsidR="00A737BA" w:rsidRPr="009B72E4" w:rsidRDefault="00A737BA" w:rsidP="00D65118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Claim</w:t>
      </w:r>
      <w:r w:rsidR="00AB607A">
        <w:rPr>
          <w:rFonts w:eastAsiaTheme="majorEastAsia" w:cstheme="majorBidi"/>
          <w:sz w:val="24"/>
          <w:szCs w:val="24"/>
        </w:rPr>
        <w:t xml:space="preserve">s Data Base (APCD) </w:t>
      </w:r>
      <w:r w:rsidRPr="009B72E4">
        <w:rPr>
          <w:rFonts w:eastAsiaTheme="majorEastAsia" w:cstheme="majorBidi"/>
          <w:sz w:val="24"/>
          <w:szCs w:val="24"/>
        </w:rPr>
        <w:t>representing a rolling 12 months of data</w:t>
      </w:r>
      <w:r w:rsidR="00AB607A">
        <w:rPr>
          <w:rFonts w:eastAsiaTheme="majorEastAsia" w:cstheme="majorBidi"/>
          <w:sz w:val="24"/>
          <w:szCs w:val="24"/>
        </w:rPr>
        <w:t xml:space="preserve"> three times a year</w:t>
      </w:r>
      <w:r w:rsidRPr="009B72E4">
        <w:rPr>
          <w:rFonts w:eastAsiaTheme="majorEastAsia" w:cstheme="majorBidi"/>
          <w:sz w:val="24"/>
          <w:szCs w:val="24"/>
        </w:rPr>
        <w:t>.</w:t>
      </w:r>
      <w:r w:rsidR="00AB607A">
        <w:rPr>
          <w:rFonts w:eastAsiaTheme="majorEastAsia" w:cstheme="majorBidi"/>
          <w:sz w:val="24"/>
          <w:szCs w:val="24"/>
        </w:rPr>
        <w:t xml:space="preserve">  Utilization performance data ending June 2017 is used for contract adjudication. </w:t>
      </w:r>
    </w:p>
    <w:p w14:paraId="7A4DAE96" w14:textId="77777777" w:rsidR="00A737BA" w:rsidRPr="005B28A1" w:rsidRDefault="00A737BA" w:rsidP="005B28A1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 xml:space="preserve">Target for </w:t>
      </w:r>
      <w:r w:rsidR="005B28A1">
        <w:rPr>
          <w:rFonts w:eastAsiaTheme="majorEastAsia" w:cstheme="majorBidi"/>
          <w:sz w:val="24"/>
          <w:szCs w:val="24"/>
        </w:rPr>
        <w:t>Performance Year 1</w:t>
      </w:r>
      <w:r w:rsidRPr="009B72E4">
        <w:rPr>
          <w:rFonts w:eastAsiaTheme="majorEastAsia" w:cstheme="majorBidi"/>
          <w:sz w:val="24"/>
          <w:szCs w:val="24"/>
        </w:rPr>
        <w:t xml:space="preserve"> will be set by the CTC Data and Evaluation Committee based on available data reported from APCD. </w:t>
      </w:r>
      <w:r w:rsidR="005B28A1">
        <w:rPr>
          <w:rFonts w:eastAsiaTheme="majorEastAsia" w:cstheme="majorBidi"/>
          <w:sz w:val="24"/>
          <w:szCs w:val="24"/>
        </w:rPr>
        <w:t xml:space="preserve">PCHM Kids practices that entered CTC in January 1, 2016 will be aggregated at the </w:t>
      </w:r>
      <w:r w:rsidR="00BB613B">
        <w:rPr>
          <w:rFonts w:eastAsiaTheme="majorEastAsia" w:cstheme="majorBidi"/>
          <w:sz w:val="24"/>
          <w:szCs w:val="24"/>
        </w:rPr>
        <w:t xml:space="preserve">PCMH Kids </w:t>
      </w:r>
      <w:r w:rsidR="005B28A1">
        <w:rPr>
          <w:rFonts w:eastAsiaTheme="majorEastAsia" w:cstheme="majorBidi"/>
          <w:sz w:val="24"/>
          <w:szCs w:val="24"/>
        </w:rPr>
        <w:t>cohort</w:t>
      </w:r>
      <w:r w:rsidR="00BB613B">
        <w:rPr>
          <w:rFonts w:eastAsiaTheme="majorEastAsia" w:cstheme="majorBidi"/>
          <w:sz w:val="24"/>
          <w:szCs w:val="24"/>
        </w:rPr>
        <w:t xml:space="preserve"> 1</w:t>
      </w:r>
      <w:r w:rsidR="005B28A1">
        <w:rPr>
          <w:rFonts w:eastAsiaTheme="majorEastAsia" w:cstheme="majorBidi"/>
          <w:sz w:val="24"/>
          <w:szCs w:val="24"/>
        </w:rPr>
        <w:t xml:space="preserve"> level. </w:t>
      </w:r>
      <w:r w:rsidR="00BB613B">
        <w:rPr>
          <w:rFonts w:eastAsiaTheme="majorEastAsia" w:cstheme="majorBidi"/>
          <w:sz w:val="24"/>
          <w:szCs w:val="24"/>
        </w:rPr>
        <w:t xml:space="preserve">Practices that entered July 1, 2017 will be aggregated at the PCMH Kids cohort 2 level. </w:t>
      </w:r>
    </w:p>
    <w:p w14:paraId="7A4DAE97" w14:textId="77777777" w:rsidR="00A737BA" w:rsidRPr="009B72E4" w:rsidRDefault="00A737BA" w:rsidP="005B28A1">
      <w:pPr>
        <w:widowControl/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</w:p>
    <w:p w14:paraId="7A4DAE98" w14:textId="77777777" w:rsidR="00D2798E" w:rsidRPr="00A737BA" w:rsidRDefault="00D2798E" w:rsidP="00D2798E">
      <w:pPr>
        <w:widowControl/>
        <w:spacing w:after="200" w:line="252" w:lineRule="auto"/>
        <w:ind w:left="1080"/>
        <w:contextualSpacing/>
        <w:rPr>
          <w:rFonts w:asciiTheme="majorHAnsi" w:eastAsiaTheme="majorEastAsia" w:hAnsiTheme="majorHAnsi" w:cstheme="majorBidi"/>
        </w:rPr>
      </w:pPr>
    </w:p>
    <w:p w14:paraId="7A4DAE99" w14:textId="77777777" w:rsidR="00D2798E" w:rsidRPr="00D2798E" w:rsidRDefault="00D2798E" w:rsidP="00D65118">
      <w:pPr>
        <w:widowControl/>
        <w:spacing w:after="200" w:line="252" w:lineRule="auto"/>
        <w:ind w:left="1080" w:hanging="9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BB613B">
        <w:rPr>
          <w:sz w:val="24"/>
        </w:rPr>
        <w:t>2018-2019</w:t>
      </w:r>
      <w:r w:rsidR="005B28A1">
        <w:rPr>
          <w:sz w:val="24"/>
        </w:rPr>
        <w:t xml:space="preserve"> </w:t>
      </w:r>
      <w:r w:rsidR="005B28A1" w:rsidRPr="00D2798E">
        <w:rPr>
          <w:sz w:val="24"/>
        </w:rPr>
        <w:t>via</w:t>
      </w:r>
      <w:r w:rsidRPr="00D2798E">
        <w:rPr>
          <w:sz w:val="24"/>
        </w:rPr>
        <w:t xml:space="preserve"> the following method:</w:t>
      </w:r>
    </w:p>
    <w:p w14:paraId="7A4DAE9A" w14:textId="77777777" w:rsidR="00D65118" w:rsidRDefault="00D2798E" w:rsidP="00D65118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 w:rsidR="00AB607A">
        <w:rPr>
          <w:sz w:val="24"/>
        </w:rPr>
        <w:t xml:space="preserve">:  </w:t>
      </w:r>
      <w:r w:rsidRPr="00D65118">
        <w:rPr>
          <w:sz w:val="24"/>
        </w:rPr>
        <w:t xml:space="preserve"> Practices</w:t>
      </w:r>
      <w:r w:rsidR="00AB607A">
        <w:rPr>
          <w:sz w:val="24"/>
        </w:rPr>
        <w:t xml:space="preserve"> in performance year </w:t>
      </w:r>
      <w:r w:rsidR="00C30504">
        <w:rPr>
          <w:sz w:val="24"/>
        </w:rPr>
        <w:t xml:space="preserve">cohorts </w:t>
      </w:r>
      <w:r w:rsidR="00C30504" w:rsidRPr="00D65118">
        <w:rPr>
          <w:sz w:val="24"/>
        </w:rPr>
        <w:t>can</w:t>
      </w:r>
      <w:r w:rsidRPr="00D65118">
        <w:rPr>
          <w:sz w:val="24"/>
        </w:rPr>
        <w:t xml:space="preserve"> successfully meet utilization targets, via the current method of using rolling years to compare the change in trends of CTC practices to a comparison non PCMH group.</w:t>
      </w:r>
    </w:p>
    <w:p w14:paraId="7A4DAE9B" w14:textId="77777777" w:rsidR="00D2798E" w:rsidRPr="00D65118" w:rsidRDefault="00D2798E" w:rsidP="00D65118">
      <w:pPr>
        <w:pStyle w:val="ListParagraph"/>
        <w:widowControl/>
        <w:numPr>
          <w:ilvl w:val="0"/>
          <w:numId w:val="11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for ED utilization will be remain 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 w:rsidR="00D65118"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 w:rsidR="00D65118">
        <w:rPr>
          <w:sz w:val="24"/>
        </w:rPr>
        <w:t xml:space="preserve">the cohort vs comparison </w:t>
      </w:r>
      <w:r w:rsidRPr="00D65118">
        <w:rPr>
          <w:sz w:val="24"/>
        </w:rPr>
        <w:t>for year to year trend</w:t>
      </w:r>
    </w:p>
    <w:p w14:paraId="7A4DAE9C" w14:textId="77777777" w:rsidR="00D2798E" w:rsidRPr="00A737BA" w:rsidRDefault="00D2798E" w:rsidP="00D2798E">
      <w:pPr>
        <w:widowControl/>
        <w:spacing w:after="200" w:line="252" w:lineRule="auto"/>
        <w:ind w:left="1080"/>
        <w:contextualSpacing/>
        <w:rPr>
          <w:rFonts w:asciiTheme="majorHAnsi" w:eastAsiaTheme="majorEastAsia" w:hAnsiTheme="majorHAnsi" w:cstheme="majorBidi"/>
        </w:rPr>
      </w:pPr>
    </w:p>
    <w:p w14:paraId="7A4DAE9D" w14:textId="77777777" w:rsidR="009C1D60" w:rsidRPr="009C1D60" w:rsidRDefault="009C1D60" w:rsidP="00CA388A">
      <w:pPr>
        <w:pStyle w:val="BodyText"/>
        <w:tabs>
          <w:tab w:val="left" w:pos="940"/>
        </w:tabs>
        <w:spacing w:before="45" w:line="275" w:lineRule="auto"/>
        <w:ind w:right="728"/>
        <w:rPr>
          <w:sz w:val="28"/>
          <w:szCs w:val="28"/>
        </w:rPr>
      </w:pPr>
    </w:p>
    <w:p w14:paraId="7A4DAE9E" w14:textId="77777777"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9F" w14:textId="77777777"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0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1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2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3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4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5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6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7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8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9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A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B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C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D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E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AF" w14:textId="77777777"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B0" w14:textId="77777777" w:rsidR="00D05CC5" w:rsidRDefault="00D05CC5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B1" w14:textId="77777777" w:rsidR="005B28A1" w:rsidRDefault="005B28A1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B2" w14:textId="77777777" w:rsidR="00D05CC5" w:rsidRDefault="00D05CC5" w:rsidP="00FE4182">
      <w:pPr>
        <w:rPr>
          <w:rFonts w:ascii="Calibri" w:eastAsia="Calibri" w:hAnsi="Calibri" w:cs="Calibri"/>
          <w:i/>
          <w:sz w:val="20"/>
          <w:szCs w:val="20"/>
        </w:rPr>
      </w:pPr>
    </w:p>
    <w:p w14:paraId="7A4DAEB3" w14:textId="77777777" w:rsidR="00D612B1" w:rsidRPr="0053772D" w:rsidRDefault="00D612B1" w:rsidP="00FE4182">
      <w:pPr>
        <w:spacing w:before="7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14:paraId="7A4DAEB4" w14:textId="77777777" w:rsidR="0082735D" w:rsidRDefault="0082735D" w:rsidP="00AC7D9F">
      <w:pPr>
        <w:pStyle w:val="Heading1"/>
        <w:tabs>
          <w:tab w:val="left" w:pos="90"/>
        </w:tabs>
        <w:ind w:left="0"/>
        <w:rPr>
          <w:b w:val="0"/>
          <w:bCs w:val="0"/>
          <w:u w:val="none"/>
        </w:rPr>
      </w:pPr>
      <w:bookmarkStart w:id="19" w:name="Other_Policies"/>
      <w:bookmarkStart w:id="20" w:name="_Toc491262504"/>
      <w:bookmarkStart w:id="21" w:name="_Toc491263102"/>
      <w:bookmarkEnd w:id="19"/>
      <w:r>
        <w:rPr>
          <w:color w:val="365F91"/>
          <w:spacing w:val="-1"/>
          <w:u w:val="thick" w:color="365F91"/>
        </w:rPr>
        <w:t>Other Policies</w:t>
      </w:r>
      <w:bookmarkEnd w:id="20"/>
      <w:bookmarkEnd w:id="21"/>
    </w:p>
    <w:p w14:paraId="7A4DAEB5" w14:textId="77777777" w:rsidR="00D612B1" w:rsidRPr="0053772D" w:rsidRDefault="00D612B1" w:rsidP="00AC7D9F">
      <w:pPr>
        <w:tabs>
          <w:tab w:val="left" w:pos="90"/>
        </w:tabs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14:paraId="7A4DAEB6" w14:textId="77777777" w:rsidR="00D612B1" w:rsidRDefault="0082735D" w:rsidP="00AC7D9F">
      <w:pPr>
        <w:pStyle w:val="Heading2"/>
        <w:tabs>
          <w:tab w:val="left" w:pos="90"/>
        </w:tabs>
        <w:spacing w:before="0"/>
        <w:ind w:left="0"/>
        <w:rPr>
          <w:b w:val="0"/>
          <w:bCs w:val="0"/>
        </w:rPr>
      </w:pPr>
      <w:bookmarkStart w:id="22" w:name="CAHPS_PCMH_Patient_Satisfaction_Survey_P"/>
      <w:bookmarkStart w:id="23" w:name="_Toc491263103"/>
      <w:bookmarkEnd w:id="22"/>
      <w:r>
        <w:rPr>
          <w:color w:val="4F81BD"/>
          <w:spacing w:val="-1"/>
        </w:rPr>
        <w:t>CAHPS PCMH Patient Satisfaction Survey Policy for use of alternate vendors</w:t>
      </w:r>
      <w:bookmarkEnd w:id="23"/>
    </w:p>
    <w:p w14:paraId="7A4DAEB7" w14:textId="77777777" w:rsidR="00D612B1" w:rsidRDefault="00D612B1" w:rsidP="00AC7D9F">
      <w:pPr>
        <w:tabs>
          <w:tab w:val="left" w:pos="90"/>
        </w:tabs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14:paraId="7A4DAEB8" w14:textId="77777777" w:rsidR="00D612B1" w:rsidRDefault="008309C5" w:rsidP="00AC7D9F">
      <w:pPr>
        <w:pStyle w:val="BodyText"/>
        <w:tabs>
          <w:tab w:val="left" w:pos="90"/>
        </w:tabs>
        <w:spacing w:line="276" w:lineRule="auto"/>
        <w:ind w:left="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14:paraId="7A4DAEB9" w14:textId="77777777" w:rsidR="00D612B1" w:rsidRDefault="00D612B1" w:rsidP="00AC7D9F">
      <w:pPr>
        <w:tabs>
          <w:tab w:val="left" w:pos="450"/>
        </w:tabs>
        <w:spacing w:before="8"/>
        <w:ind w:left="450" w:hanging="450"/>
        <w:rPr>
          <w:rFonts w:ascii="Calibri" w:eastAsia="Calibri" w:hAnsi="Calibri" w:cs="Calibri"/>
          <w:sz w:val="27"/>
          <w:szCs w:val="27"/>
        </w:rPr>
      </w:pPr>
    </w:p>
    <w:p w14:paraId="7A4DAEBA" w14:textId="77777777" w:rsidR="00D612B1" w:rsidRDefault="0053772D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278" w:hanging="450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14:paraId="7A4DAEBB" w14:textId="77777777" w:rsidR="00073E33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14:paraId="7A4DAEBC" w14:textId="77777777"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45"/>
        <w:ind w:left="450" w:hanging="45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14:paraId="7A4DAEBD" w14:textId="77777777" w:rsidR="00D612B1" w:rsidRDefault="008309C5" w:rsidP="00AC7D9F">
      <w:pPr>
        <w:pStyle w:val="BodyText"/>
        <w:numPr>
          <w:ilvl w:val="1"/>
          <w:numId w:val="1"/>
        </w:numPr>
        <w:tabs>
          <w:tab w:val="left" w:pos="990"/>
        </w:tabs>
        <w:spacing w:before="43" w:line="275" w:lineRule="auto"/>
        <w:ind w:left="990" w:right="810" w:hanging="54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14:paraId="7A4DAEBE" w14:textId="77777777" w:rsidR="00073E33" w:rsidRDefault="00073E33" w:rsidP="00AC7D9F">
      <w:pPr>
        <w:pStyle w:val="BodyText"/>
        <w:numPr>
          <w:ilvl w:val="1"/>
          <w:numId w:val="1"/>
        </w:numPr>
        <w:shd w:val="clear" w:color="auto" w:fill="FFFF00"/>
        <w:tabs>
          <w:tab w:val="left" w:pos="990"/>
        </w:tabs>
        <w:spacing w:before="43" w:line="275" w:lineRule="auto"/>
        <w:ind w:left="990" w:right="810" w:hanging="540"/>
      </w:pPr>
      <w:r w:rsidRPr="00073E33">
        <w:rPr>
          <w:spacing w:val="-1"/>
        </w:rPr>
        <w:t>The alternate vendor must conduct the survey using the same version as CTC.</w:t>
      </w:r>
    </w:p>
    <w:p w14:paraId="7A4DAEBF" w14:textId="77777777"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2" w:line="276" w:lineRule="auto"/>
        <w:ind w:left="450" w:right="144" w:hanging="450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14:paraId="7A4DAEC0" w14:textId="77777777"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144" w:hanging="450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14:paraId="7A4DAEC1" w14:textId="77777777"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427" w:hanging="450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14:paraId="7A4DAEC2" w14:textId="77777777"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1283" w:hanging="450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14:paraId="7A4DAEC3" w14:textId="77777777"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7A4DAEC4" w14:textId="77777777"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AEC9" w14:textId="77777777" w:rsidR="00D850B3" w:rsidRDefault="00D850B3">
      <w:r>
        <w:separator/>
      </w:r>
    </w:p>
  </w:endnote>
  <w:endnote w:type="continuationSeparator" w:id="0">
    <w:p w14:paraId="7A4DAECA" w14:textId="77777777" w:rsidR="00D850B3" w:rsidRDefault="00D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AECB" w14:textId="77777777" w:rsidR="006600F1" w:rsidRDefault="006600F1">
    <w:pPr>
      <w:pStyle w:val="Footer"/>
    </w:pPr>
    <w:r>
      <w:t xml:space="preserve">6 25 18 </w:t>
    </w:r>
  </w:p>
  <w:p w14:paraId="7A4DAECC" w14:textId="77777777" w:rsidR="00D612B1" w:rsidRDefault="00D612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DAEC7" w14:textId="77777777" w:rsidR="00D850B3" w:rsidRDefault="00D850B3">
      <w:r>
        <w:separator/>
      </w:r>
    </w:p>
  </w:footnote>
  <w:footnote w:type="continuationSeparator" w:id="0">
    <w:p w14:paraId="7A4DAEC8" w14:textId="77777777" w:rsidR="00D850B3" w:rsidRDefault="00D8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D9"/>
    <w:multiLevelType w:val="hybridMultilevel"/>
    <w:tmpl w:val="4BF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9BD7BD1"/>
    <w:multiLevelType w:val="hybridMultilevel"/>
    <w:tmpl w:val="E16EED36"/>
    <w:lvl w:ilvl="0" w:tplc="E7C2B6D0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7" w15:restartNumberingAfterBreak="0">
    <w:nsid w:val="450B71DF"/>
    <w:multiLevelType w:val="multilevel"/>
    <w:tmpl w:val="6B0E5E64"/>
    <w:lvl w:ilvl="0">
      <w:start w:val="2018"/>
      <w:numFmt w:val="decimal"/>
      <w:lvlText w:val="%1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Calibri" w:eastAsia="Calibri" w:hAnsi="Calibri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Calibri" w:eastAsia="Calibri" w:hAnsi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Calibri" w:eastAsia="Calibri" w:hAnsi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Calibri" w:eastAsia="Calibri" w:hAnsi="Calibri" w:hint="default"/>
        <w:sz w:val="24"/>
      </w:rPr>
    </w:lvl>
  </w:abstractNum>
  <w:abstractNum w:abstractNumId="8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 w15:restartNumberingAfterBreak="0">
    <w:nsid w:val="6BDA50EE"/>
    <w:multiLevelType w:val="multilevel"/>
    <w:tmpl w:val="095C7FF8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89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23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279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32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  <w:b/>
        <w:color w:val="365F91"/>
        <w:u w:val="thick"/>
      </w:rPr>
    </w:lvl>
  </w:abstractNum>
  <w:abstractNum w:abstractNumId="10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1" w15:restartNumberingAfterBreak="0">
    <w:nsid w:val="77FC573D"/>
    <w:multiLevelType w:val="multilevel"/>
    <w:tmpl w:val="32AC6ED2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54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16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174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18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194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2400" w:hanging="180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2860" w:hanging="216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2960" w:hanging="2160"/>
      </w:pPr>
      <w:rPr>
        <w:rFonts w:hint="default"/>
        <w:b/>
        <w:color w:val="365F91"/>
        <w:u w:val="thick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73E33"/>
    <w:rsid w:val="000A6ABF"/>
    <w:rsid w:val="000C61E6"/>
    <w:rsid w:val="0012062B"/>
    <w:rsid w:val="00143724"/>
    <w:rsid w:val="001522E9"/>
    <w:rsid w:val="001B55F8"/>
    <w:rsid w:val="001C269C"/>
    <w:rsid w:val="00214DD8"/>
    <w:rsid w:val="00275DA0"/>
    <w:rsid w:val="0028245E"/>
    <w:rsid w:val="00295E3B"/>
    <w:rsid w:val="00320496"/>
    <w:rsid w:val="0035335F"/>
    <w:rsid w:val="00354B8B"/>
    <w:rsid w:val="003725BC"/>
    <w:rsid w:val="00387ABC"/>
    <w:rsid w:val="003970EA"/>
    <w:rsid w:val="003D2D29"/>
    <w:rsid w:val="00413C23"/>
    <w:rsid w:val="0048303E"/>
    <w:rsid w:val="004B3D74"/>
    <w:rsid w:val="004B4F7A"/>
    <w:rsid w:val="00502236"/>
    <w:rsid w:val="0053772D"/>
    <w:rsid w:val="005532BC"/>
    <w:rsid w:val="005936AB"/>
    <w:rsid w:val="005B28A1"/>
    <w:rsid w:val="005C5E06"/>
    <w:rsid w:val="005D5748"/>
    <w:rsid w:val="0061701A"/>
    <w:rsid w:val="00620864"/>
    <w:rsid w:val="006600F1"/>
    <w:rsid w:val="006722E8"/>
    <w:rsid w:val="00676917"/>
    <w:rsid w:val="006962E2"/>
    <w:rsid w:val="006D33E0"/>
    <w:rsid w:val="00700AAB"/>
    <w:rsid w:val="00753CFE"/>
    <w:rsid w:val="007B0A9C"/>
    <w:rsid w:val="007D396D"/>
    <w:rsid w:val="008007C2"/>
    <w:rsid w:val="0082735D"/>
    <w:rsid w:val="008309C5"/>
    <w:rsid w:val="008533FE"/>
    <w:rsid w:val="00886C65"/>
    <w:rsid w:val="008956C7"/>
    <w:rsid w:val="008F0C4B"/>
    <w:rsid w:val="00904D74"/>
    <w:rsid w:val="00910825"/>
    <w:rsid w:val="009B72E4"/>
    <w:rsid w:val="009C1D60"/>
    <w:rsid w:val="00A737BA"/>
    <w:rsid w:val="00AB607A"/>
    <w:rsid w:val="00AC7D9F"/>
    <w:rsid w:val="00AE696E"/>
    <w:rsid w:val="00B24784"/>
    <w:rsid w:val="00B856F5"/>
    <w:rsid w:val="00BB613B"/>
    <w:rsid w:val="00C1167C"/>
    <w:rsid w:val="00C30504"/>
    <w:rsid w:val="00C4307C"/>
    <w:rsid w:val="00C8471E"/>
    <w:rsid w:val="00CA388A"/>
    <w:rsid w:val="00CC6B20"/>
    <w:rsid w:val="00CD0970"/>
    <w:rsid w:val="00D05CC5"/>
    <w:rsid w:val="00D2798E"/>
    <w:rsid w:val="00D612B1"/>
    <w:rsid w:val="00D65118"/>
    <w:rsid w:val="00D66261"/>
    <w:rsid w:val="00D83B6F"/>
    <w:rsid w:val="00D850B3"/>
    <w:rsid w:val="00D869AD"/>
    <w:rsid w:val="00DB112B"/>
    <w:rsid w:val="00DD5C3C"/>
    <w:rsid w:val="00E423AB"/>
    <w:rsid w:val="00E751E3"/>
    <w:rsid w:val="00E77F14"/>
    <w:rsid w:val="00E82BAE"/>
    <w:rsid w:val="00EE5930"/>
    <w:rsid w:val="00FB4FB7"/>
    <w:rsid w:val="00FD593A"/>
    <w:rsid w:val="00FE202C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DAE25"/>
  <w15:docId w15:val="{0BEA9D01-AE65-4486-BBC7-16D7AB3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D29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3D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74"/>
  </w:style>
  <w:style w:type="paragraph" w:styleId="Footer">
    <w:name w:val="footer"/>
    <w:basedOn w:val="Normal"/>
    <w:link w:val="Foot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Revised-2018-Measure-Specifications-Adult-and-Pedi-CTC-OHIC-January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0510-1AB8-4A86-892B-DAA2E005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Mobilio, Michael</dc:creator>
  <cp:lastModifiedBy>Candice Brown</cp:lastModifiedBy>
  <cp:revision>2</cp:revision>
  <cp:lastPrinted>2017-09-01T15:34:00Z</cp:lastPrinted>
  <dcterms:created xsi:type="dcterms:W3CDTF">2019-01-02T16:04:00Z</dcterms:created>
  <dcterms:modified xsi:type="dcterms:W3CDTF">2019-01-02T16:04:00Z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