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E1B3" w14:textId="77777777" w:rsidR="009F213F" w:rsidRDefault="009F213F" w:rsidP="009F213F">
      <w:pPr>
        <w:pStyle w:val="TOCTitle"/>
        <w:rPr>
          <w:sz w:val="28"/>
        </w:rPr>
      </w:pPr>
      <w:r w:rsidRPr="000E62FE">
        <w:rPr>
          <w:sz w:val="28"/>
        </w:rPr>
        <w:t>TABLE OF CONTENTS</w:t>
      </w:r>
      <w:r>
        <w:rPr>
          <w:sz w:val="28"/>
        </w:rPr>
        <w:t xml:space="preserve">  </w:t>
      </w:r>
    </w:p>
    <w:p w14:paraId="75CEEC29" w14:textId="77777777" w:rsidR="009F213F" w:rsidRDefault="009F213F" w:rsidP="185B4AFC">
      <w:pPr>
        <w:pStyle w:val="TOCTitle"/>
        <w:rPr>
          <w:bCs/>
          <w:highlight w:val="yellow"/>
        </w:rPr>
      </w:pPr>
    </w:p>
    <w:p w14:paraId="4C55BE5B" w14:textId="644B5244" w:rsidR="009F213F" w:rsidRDefault="00F67BE2" w:rsidP="009F213F">
      <w:pPr>
        <w:pStyle w:val="TOCTitle"/>
        <w:ind w:left="2160" w:firstLine="720"/>
        <w:jc w:val="left"/>
        <w:rPr>
          <w:b w:val="0"/>
          <w:sz w:val="18"/>
          <w:szCs w:val="18"/>
        </w:rPr>
      </w:pPr>
      <w:r w:rsidRPr="005B1671">
        <w:rPr>
          <w:b w:val="0"/>
          <w:sz w:val="18"/>
          <w:szCs w:val="18"/>
        </w:rPr>
        <w:t xml:space="preserve">Revised June </w:t>
      </w:r>
      <w:r w:rsidR="005B1671">
        <w:rPr>
          <w:b w:val="0"/>
          <w:sz w:val="18"/>
          <w:szCs w:val="18"/>
        </w:rPr>
        <w:t>30</w:t>
      </w:r>
      <w:r w:rsidRPr="005B1671">
        <w:rPr>
          <w:b w:val="0"/>
          <w:sz w:val="18"/>
          <w:szCs w:val="18"/>
        </w:rPr>
        <w:t>, 2022</w:t>
      </w:r>
      <w:r w:rsidRPr="009F213F">
        <w:rPr>
          <w:b w:val="0"/>
          <w:sz w:val="18"/>
          <w:szCs w:val="18"/>
        </w:rPr>
        <w:t xml:space="preserve">  -</w:t>
      </w:r>
      <w:r w:rsidR="009F213F" w:rsidRPr="009F213F">
        <w:rPr>
          <w:b w:val="0"/>
          <w:sz w:val="18"/>
          <w:szCs w:val="18"/>
        </w:rPr>
        <w:t xml:space="preserve"> </w:t>
      </w:r>
      <w:r w:rsidRPr="009F213F">
        <w:rPr>
          <w:b w:val="0"/>
          <w:sz w:val="18"/>
          <w:szCs w:val="18"/>
        </w:rPr>
        <w:t>Previous Version August 14</w:t>
      </w:r>
      <w:r w:rsidR="009F213F">
        <w:rPr>
          <w:b w:val="0"/>
          <w:sz w:val="18"/>
          <w:szCs w:val="18"/>
        </w:rPr>
        <w:t>,2020</w:t>
      </w:r>
    </w:p>
    <w:p w14:paraId="25F4906F" w14:textId="3255C0B3" w:rsidR="00DA2067" w:rsidRDefault="00DA2067" w:rsidP="009F213F">
      <w:pPr>
        <w:pStyle w:val="TOCTitle"/>
        <w:ind w:left="2160" w:firstLine="720"/>
        <w:jc w:val="left"/>
        <w:rPr>
          <w:b w:val="0"/>
          <w:sz w:val="18"/>
          <w:szCs w:val="18"/>
        </w:rPr>
      </w:pPr>
    </w:p>
    <w:p w14:paraId="1ECE6CB8" w14:textId="702D9294" w:rsidR="00DA2067" w:rsidRDefault="00DA2067" w:rsidP="009F213F">
      <w:pPr>
        <w:pStyle w:val="TOCTitle"/>
        <w:ind w:left="2160" w:firstLine="720"/>
        <w:jc w:val="left"/>
        <w:rPr>
          <w:b w:val="0"/>
          <w:sz w:val="18"/>
          <w:szCs w:val="18"/>
        </w:rPr>
      </w:pPr>
    </w:p>
    <w:p w14:paraId="1F5D1966" w14:textId="7D5FA6C5" w:rsidR="00DA2067" w:rsidRPr="00DA2067" w:rsidRDefault="00DA2067" w:rsidP="00DA2067">
      <w:pPr>
        <w:pStyle w:val="TOCTitle"/>
        <w:jc w:val="left"/>
        <w:rPr>
          <w:bCs/>
          <w:u w:val="single"/>
        </w:rPr>
      </w:pPr>
      <w:r w:rsidRPr="00DA2067">
        <w:rPr>
          <w:bCs/>
          <w:u w:val="single"/>
        </w:rPr>
        <w:t>Active Patient(s)</w:t>
      </w:r>
      <w:r>
        <w:rPr>
          <w:bCs/>
          <w:u w:val="single"/>
        </w:rPr>
        <w:t xml:space="preserve"> All Scopes of Work_____________________________________</w:t>
      </w:r>
      <w:r w:rsidR="00BF49EB">
        <w:rPr>
          <w:bCs/>
          <w:u w:val="single"/>
        </w:rPr>
        <w:t>____ 2</w:t>
      </w:r>
    </w:p>
    <w:p w14:paraId="0F4CC608" w14:textId="323CA368" w:rsidR="00DA2067" w:rsidRPr="00DA2067" w:rsidRDefault="00DA2067" w:rsidP="00DA2067">
      <w:pPr>
        <w:pStyle w:val="TOCTitle"/>
        <w:jc w:val="left"/>
        <w:rPr>
          <w:b w:val="0"/>
          <w:bCs/>
        </w:rPr>
      </w:pPr>
      <w:r w:rsidRPr="00DA2067">
        <w:rPr>
          <w:b w:val="0"/>
          <w:bCs/>
          <w:webHidden/>
        </w:rPr>
        <w:t>Scope of Work Specific Screenshots of form used to submit Active Patient(s)</w:t>
      </w:r>
      <w:r w:rsidR="00B032B0">
        <w:rPr>
          <w:b w:val="0"/>
          <w:bCs/>
          <w:webHidden/>
        </w:rPr>
        <w:t xml:space="preserve">            </w:t>
      </w:r>
      <w:r w:rsidR="006E081A">
        <w:rPr>
          <w:b w:val="0"/>
          <w:bCs/>
          <w:webHidden/>
        </w:rPr>
        <w:t xml:space="preserve">    </w:t>
      </w:r>
      <w:r w:rsidR="00B032B0">
        <w:rPr>
          <w:b w:val="0"/>
          <w:bCs/>
          <w:webHidden/>
        </w:rPr>
        <w:t xml:space="preserve">    </w:t>
      </w:r>
      <w:r w:rsidR="00BF49EB">
        <w:rPr>
          <w:b w:val="0"/>
          <w:bCs/>
          <w:webHidden/>
        </w:rPr>
        <w:t>3</w:t>
      </w:r>
    </w:p>
    <w:p w14:paraId="572D8A25" w14:textId="50E4E0AC" w:rsidR="000E62FE" w:rsidRPr="000E62FE" w:rsidRDefault="000E62FE" w:rsidP="00B032B0">
      <w:pPr>
        <w:pStyle w:val="Level1"/>
        <w:rPr>
          <w:sz w:val="24"/>
        </w:rPr>
      </w:pPr>
      <w:r w:rsidRPr="000E62FE">
        <w:rPr>
          <w:sz w:val="24"/>
        </w:rPr>
        <w:t>Prediabetes/Diabetes</w:t>
      </w:r>
      <w:r w:rsidR="000D017E">
        <w:rPr>
          <w:sz w:val="24"/>
        </w:rPr>
        <w:t xml:space="preserve"> </w:t>
      </w:r>
      <w:r w:rsidR="00FD5558">
        <w:rPr>
          <w:sz w:val="24"/>
        </w:rPr>
        <w:t>control and prevention</w:t>
      </w:r>
    </w:p>
    <w:p w14:paraId="180CD225" w14:textId="07F4595B" w:rsidR="000E62FE" w:rsidRPr="000E62FE" w:rsidRDefault="000E62FE" w:rsidP="00B032B0">
      <w:pPr>
        <w:pStyle w:val="Level2"/>
        <w:rPr>
          <w:webHidden/>
          <w:sz w:val="24"/>
        </w:rPr>
      </w:pPr>
      <w:r w:rsidRPr="00DA2067">
        <w:rPr>
          <w:b w:val="0"/>
          <w:bCs w:val="0"/>
          <w:webHidden/>
          <w:sz w:val="24"/>
        </w:rPr>
        <w:t xml:space="preserve">Prediabetes draft measure </w:t>
      </w:r>
      <w:r w:rsidR="00B032B0">
        <w:rPr>
          <w:b w:val="0"/>
          <w:bCs w:val="0"/>
          <w:webHidden/>
          <w:sz w:val="24"/>
        </w:rPr>
        <w:t xml:space="preserve">                                                                                                                                    </w:t>
      </w:r>
      <w:r w:rsidR="006E081A">
        <w:rPr>
          <w:b w:val="0"/>
          <w:bCs w:val="0"/>
          <w:webHidden/>
          <w:sz w:val="24"/>
        </w:rPr>
        <w:t xml:space="preserve">       </w:t>
      </w:r>
      <w:r w:rsidR="00B032B0">
        <w:rPr>
          <w:b w:val="0"/>
          <w:bCs w:val="0"/>
          <w:webHidden/>
          <w:sz w:val="24"/>
        </w:rPr>
        <w:t xml:space="preserve"> 4                                                                                                                                            </w:t>
      </w:r>
      <w:r w:rsidRPr="006E081A">
        <w:rPr>
          <w:b w:val="0"/>
          <w:bCs w:val="0"/>
          <w:webHidden/>
          <w:sz w:val="24"/>
        </w:rPr>
        <w:t>diabetes mellitus: HbA1c in Poor Cont</w:t>
      </w:r>
      <w:r w:rsidR="00D135DF" w:rsidRPr="006E081A">
        <w:rPr>
          <w:b w:val="0"/>
          <w:bCs w:val="0"/>
          <w:webHidden/>
          <w:sz w:val="24"/>
        </w:rPr>
        <w:t>r</w:t>
      </w:r>
      <w:r w:rsidRPr="006E081A">
        <w:rPr>
          <w:b w:val="0"/>
          <w:bCs w:val="0"/>
          <w:webHidden/>
          <w:sz w:val="24"/>
        </w:rPr>
        <w:t>ol (&gt;9 or none)</w:t>
      </w:r>
      <w:r w:rsidR="006E081A" w:rsidRPr="006E081A">
        <w:rPr>
          <w:b w:val="0"/>
          <w:bCs w:val="0"/>
          <w:webHidden/>
          <w:sz w:val="24"/>
        </w:rPr>
        <w:t xml:space="preserve">                                                                            </w:t>
      </w:r>
      <w:r w:rsidR="000D1D64">
        <w:rPr>
          <w:b w:val="0"/>
          <w:bCs w:val="0"/>
          <w:webHidden/>
          <w:sz w:val="24"/>
        </w:rPr>
        <w:t xml:space="preserve">     5</w:t>
      </w:r>
    </w:p>
    <w:p w14:paraId="3EE68911" w14:textId="05D20743" w:rsidR="000E62FE" w:rsidRPr="000E62FE" w:rsidRDefault="000E62FE" w:rsidP="006E081A">
      <w:pPr>
        <w:pStyle w:val="Level3"/>
        <w:rPr>
          <w:webHidden/>
          <w:sz w:val="24"/>
        </w:rPr>
      </w:pPr>
      <w:r w:rsidRPr="000E62FE">
        <w:rPr>
          <w:webHidden/>
          <w:sz w:val="24"/>
        </w:rPr>
        <w:t>screenshot of form used to submit diabetes in poor control</w:t>
      </w:r>
      <w:r w:rsidR="00440CE9">
        <w:rPr>
          <w:webHidden/>
          <w:sz w:val="24"/>
        </w:rPr>
        <w:t xml:space="preserve">                                                                       </w:t>
      </w:r>
      <w:r w:rsidR="00B032B0">
        <w:rPr>
          <w:webHidden/>
          <w:sz w:val="24"/>
        </w:rPr>
        <w:t>6</w:t>
      </w:r>
    </w:p>
    <w:p w14:paraId="2D2530C9" w14:textId="239B60B9" w:rsidR="000E62FE" w:rsidRPr="000E62FE" w:rsidRDefault="00FD5558" w:rsidP="00B032B0">
      <w:pPr>
        <w:pStyle w:val="Level1"/>
        <w:rPr>
          <w:sz w:val="24"/>
        </w:rPr>
      </w:pPr>
      <w:r>
        <w:rPr>
          <w:webHidden/>
          <w:sz w:val="24"/>
        </w:rPr>
        <w:t>cardiovascular disease management and prevention</w:t>
      </w:r>
      <w:r w:rsidR="000E62FE" w:rsidRPr="000E62FE">
        <w:rPr>
          <w:webHidden/>
          <w:sz w:val="24"/>
        </w:rPr>
        <w:tab/>
      </w:r>
    </w:p>
    <w:p w14:paraId="30DBD061" w14:textId="563836F5" w:rsidR="000E62FE" w:rsidRPr="00BF49EB" w:rsidRDefault="002F2AE1" w:rsidP="006E081A">
      <w:pPr>
        <w:pStyle w:val="Level2"/>
        <w:jc w:val="both"/>
        <w:rPr>
          <w:b w:val="0"/>
          <w:bCs w:val="0"/>
          <w:webHidden/>
          <w:sz w:val="24"/>
        </w:rPr>
      </w:pPr>
      <w:r w:rsidRPr="00DA2067">
        <w:rPr>
          <w:b w:val="0"/>
          <w:bCs w:val="0"/>
          <w:webHidden/>
          <w:sz w:val="24"/>
        </w:rPr>
        <w:t>h</w:t>
      </w:r>
      <w:r w:rsidR="006645F7" w:rsidRPr="00DA2067">
        <w:rPr>
          <w:b w:val="0"/>
          <w:bCs w:val="0"/>
          <w:webHidden/>
          <w:sz w:val="24"/>
        </w:rPr>
        <w:t xml:space="preserve">ypertension: </w:t>
      </w:r>
      <w:r w:rsidRPr="00DA2067">
        <w:rPr>
          <w:b w:val="0"/>
          <w:bCs w:val="0"/>
          <w:webHidden/>
          <w:sz w:val="24"/>
        </w:rPr>
        <w:t>blood pressure in c</w:t>
      </w:r>
      <w:r w:rsidR="006645F7" w:rsidRPr="00DA2067">
        <w:rPr>
          <w:b w:val="0"/>
          <w:bCs w:val="0"/>
          <w:webHidden/>
          <w:sz w:val="24"/>
        </w:rPr>
        <w:t>ontrol</w:t>
      </w:r>
      <w:r w:rsidR="00313CBC">
        <w:rPr>
          <w:b w:val="0"/>
          <w:bCs w:val="0"/>
          <w:webHidden/>
          <w:sz w:val="24"/>
        </w:rPr>
        <w:t xml:space="preserve">                                                                                                                7</w:t>
      </w:r>
      <w:r w:rsidR="000E62FE" w:rsidRPr="000E62FE">
        <w:rPr>
          <w:webHidden/>
          <w:sz w:val="24"/>
        </w:rPr>
        <w:tab/>
      </w:r>
      <w:r w:rsidR="00DA2067">
        <w:rPr>
          <w:webHidden/>
          <w:sz w:val="24"/>
        </w:rPr>
        <w:t xml:space="preserve">       </w:t>
      </w:r>
      <w:r w:rsidR="00BF49EB">
        <w:rPr>
          <w:webHidden/>
          <w:sz w:val="24"/>
        </w:rPr>
        <w:t xml:space="preserve">      </w:t>
      </w:r>
    </w:p>
    <w:p w14:paraId="7BD5D780" w14:textId="26BD5500" w:rsidR="000E62FE" w:rsidRPr="000E62FE" w:rsidRDefault="002F2AE1" w:rsidP="006E081A">
      <w:pPr>
        <w:pStyle w:val="Level3"/>
        <w:tabs>
          <w:tab w:val="left" w:pos="2820"/>
        </w:tabs>
        <w:rPr>
          <w:webHidden/>
          <w:sz w:val="24"/>
        </w:rPr>
      </w:pPr>
      <w:r>
        <w:rPr>
          <w:webHidden/>
          <w:sz w:val="24"/>
        </w:rPr>
        <w:t>s</w:t>
      </w:r>
      <w:r w:rsidR="004D079A">
        <w:rPr>
          <w:webHidden/>
          <w:sz w:val="24"/>
        </w:rPr>
        <w:t>creenshot of form used to submit Hypertension: Blood Pressure in Control</w:t>
      </w:r>
      <w:r w:rsidR="00313CBC">
        <w:rPr>
          <w:webHidden/>
          <w:sz w:val="24"/>
        </w:rPr>
        <w:t xml:space="preserve"> </w:t>
      </w:r>
      <w:r w:rsidR="000D1D64">
        <w:rPr>
          <w:webHidden/>
          <w:sz w:val="24"/>
        </w:rPr>
        <w:t xml:space="preserve">                                  </w:t>
      </w:r>
      <w:r w:rsidR="00313CBC">
        <w:rPr>
          <w:webHidden/>
          <w:sz w:val="24"/>
        </w:rPr>
        <w:t>8</w:t>
      </w:r>
      <w:r w:rsidR="000E62FE" w:rsidRPr="000E62FE">
        <w:rPr>
          <w:webHidden/>
          <w:sz w:val="24"/>
        </w:rPr>
        <w:tab/>
      </w:r>
    </w:p>
    <w:p w14:paraId="55B94787" w14:textId="7EB4A161" w:rsidR="000E62FE" w:rsidRPr="000E62FE" w:rsidRDefault="00C6111B" w:rsidP="006E081A">
      <w:pPr>
        <w:pStyle w:val="Level3"/>
        <w:tabs>
          <w:tab w:val="left" w:pos="2820"/>
        </w:tabs>
        <w:rPr>
          <w:webHidden/>
          <w:sz w:val="24"/>
        </w:rPr>
      </w:pPr>
      <w:r>
        <w:rPr>
          <w:webHidden/>
          <w:sz w:val="24"/>
        </w:rPr>
        <w:t>s</w:t>
      </w:r>
      <w:r w:rsidR="002F2AE1">
        <w:rPr>
          <w:webHidden/>
          <w:sz w:val="24"/>
        </w:rPr>
        <w:t>tatin therapy for the prevention and treatment of cardiovascular disease</w:t>
      </w:r>
      <w:r w:rsidR="00313CBC">
        <w:rPr>
          <w:webHidden/>
          <w:sz w:val="24"/>
        </w:rPr>
        <w:t xml:space="preserve">    </w:t>
      </w:r>
      <w:r w:rsidR="000D1D64">
        <w:rPr>
          <w:webHidden/>
          <w:sz w:val="24"/>
        </w:rPr>
        <w:t xml:space="preserve">                                 </w:t>
      </w:r>
      <w:r w:rsidR="00313CBC">
        <w:rPr>
          <w:webHidden/>
          <w:sz w:val="24"/>
        </w:rPr>
        <w:t xml:space="preserve">  9</w:t>
      </w:r>
      <w:r w:rsidR="000E62FE" w:rsidRPr="000E62FE">
        <w:rPr>
          <w:webHidden/>
          <w:sz w:val="24"/>
        </w:rPr>
        <w:tab/>
      </w:r>
    </w:p>
    <w:p w14:paraId="3FF9F3F7" w14:textId="7C27236A" w:rsidR="000E62FE" w:rsidRPr="000E62FE" w:rsidRDefault="002F2AE1" w:rsidP="006E081A">
      <w:pPr>
        <w:pStyle w:val="Level3"/>
        <w:tabs>
          <w:tab w:val="left" w:pos="2820"/>
        </w:tabs>
        <w:rPr>
          <w:webHidden/>
          <w:sz w:val="24"/>
        </w:rPr>
      </w:pPr>
      <w:r w:rsidRPr="000D1D64">
        <w:rPr>
          <w:webHidden/>
          <w:sz w:val="24"/>
        </w:rPr>
        <w:t xml:space="preserve">screenshot </w:t>
      </w:r>
      <w:r w:rsidR="00C6111B" w:rsidRPr="000D1D64">
        <w:rPr>
          <w:webHidden/>
          <w:sz w:val="24"/>
        </w:rPr>
        <w:t>of form used to submit statin</w:t>
      </w:r>
      <w:r w:rsidR="00C6111B">
        <w:rPr>
          <w:webHidden/>
          <w:sz w:val="24"/>
        </w:rPr>
        <w:t xml:space="preserve"> therapy of prevention and treatment of cvd</w:t>
      </w:r>
      <w:r w:rsidR="00313CBC">
        <w:rPr>
          <w:webHidden/>
          <w:sz w:val="24"/>
        </w:rPr>
        <w:t xml:space="preserve">    </w:t>
      </w:r>
      <w:r w:rsidR="000D1D64">
        <w:rPr>
          <w:webHidden/>
          <w:sz w:val="24"/>
        </w:rPr>
        <w:t xml:space="preserve">          </w:t>
      </w:r>
      <w:r w:rsidR="00313CBC">
        <w:rPr>
          <w:webHidden/>
          <w:sz w:val="24"/>
        </w:rPr>
        <w:t>10</w:t>
      </w:r>
      <w:r w:rsidR="000E62FE" w:rsidRPr="000E62FE">
        <w:rPr>
          <w:webHidden/>
          <w:sz w:val="24"/>
        </w:rPr>
        <w:tab/>
      </w:r>
    </w:p>
    <w:p w14:paraId="7311101C" w14:textId="7B92F1D1" w:rsidR="000E62FE" w:rsidRPr="000E62FE" w:rsidRDefault="002F2AE1" w:rsidP="006E081A">
      <w:pPr>
        <w:pStyle w:val="Level3"/>
        <w:tabs>
          <w:tab w:val="left" w:pos="2820"/>
        </w:tabs>
        <w:rPr>
          <w:webHidden/>
          <w:sz w:val="24"/>
        </w:rPr>
      </w:pPr>
      <w:r>
        <w:rPr>
          <w:webHidden/>
          <w:sz w:val="24"/>
        </w:rPr>
        <w:t>elevated blood pressure without hypertension diagnosis</w:t>
      </w:r>
      <w:r w:rsidR="000E62FE" w:rsidRPr="000E62FE">
        <w:rPr>
          <w:webHidden/>
          <w:sz w:val="24"/>
        </w:rPr>
        <w:tab/>
      </w:r>
      <w:r w:rsidR="00313CBC">
        <w:rPr>
          <w:webHidden/>
          <w:sz w:val="24"/>
        </w:rPr>
        <w:t>11</w:t>
      </w:r>
    </w:p>
    <w:p w14:paraId="70A40A04" w14:textId="4C7F26DF" w:rsidR="000E62FE" w:rsidRPr="000E62FE" w:rsidRDefault="00C6111B" w:rsidP="006E081A">
      <w:pPr>
        <w:pStyle w:val="Level3"/>
        <w:tabs>
          <w:tab w:val="left" w:pos="2820"/>
        </w:tabs>
        <w:rPr>
          <w:sz w:val="24"/>
        </w:rPr>
      </w:pPr>
      <w:r>
        <w:rPr>
          <w:webHidden/>
          <w:sz w:val="24"/>
        </w:rPr>
        <w:t>screenshot of form used to submit elevated blood pressure without htn diagnosis</w:t>
      </w:r>
      <w:r w:rsidR="000E62FE" w:rsidRPr="000E62FE">
        <w:rPr>
          <w:webHidden/>
          <w:sz w:val="24"/>
        </w:rPr>
        <w:tab/>
      </w:r>
      <w:r w:rsidR="00313CBC">
        <w:rPr>
          <w:webHidden/>
          <w:sz w:val="24"/>
        </w:rPr>
        <w:t>12</w:t>
      </w:r>
    </w:p>
    <w:p w14:paraId="6021216E" w14:textId="77777777" w:rsidR="000E62FE" w:rsidRPr="000E62FE" w:rsidRDefault="000E62FE" w:rsidP="000E62FE">
      <w:pPr>
        <w:pStyle w:val="Level2"/>
        <w:jc w:val="center"/>
        <w:rPr>
          <w:sz w:val="24"/>
        </w:rPr>
      </w:pPr>
      <w:r w:rsidRPr="000E62FE">
        <w:rPr>
          <w:webHidden/>
          <w:sz w:val="24"/>
        </w:rPr>
        <w:tab/>
      </w:r>
    </w:p>
    <w:p w14:paraId="6D0309BB" w14:textId="5393BB65" w:rsidR="000E62FE" w:rsidRPr="000E62FE" w:rsidRDefault="00FD5558" w:rsidP="00B032B0">
      <w:pPr>
        <w:pStyle w:val="Level1"/>
        <w:rPr>
          <w:webHidden/>
          <w:sz w:val="24"/>
        </w:rPr>
      </w:pPr>
      <w:r>
        <w:rPr>
          <w:webHidden/>
          <w:sz w:val="24"/>
        </w:rPr>
        <w:t>se</w:t>
      </w:r>
      <w:r w:rsidR="00DA2067">
        <w:rPr>
          <w:webHidden/>
          <w:sz w:val="24"/>
        </w:rPr>
        <w:t>L</w:t>
      </w:r>
      <w:r>
        <w:rPr>
          <w:webHidden/>
          <w:sz w:val="24"/>
        </w:rPr>
        <w:t>f measurement of blood press</w:t>
      </w:r>
      <w:r w:rsidR="00DA2067">
        <w:rPr>
          <w:webHidden/>
          <w:sz w:val="24"/>
        </w:rPr>
        <w:t>URE</w:t>
      </w:r>
      <w:r w:rsidR="000E62FE" w:rsidRPr="000E62FE">
        <w:rPr>
          <w:webHidden/>
          <w:sz w:val="24"/>
        </w:rPr>
        <w:tab/>
      </w:r>
      <w:r w:rsidR="000E62FE" w:rsidRPr="000E62FE">
        <w:rPr>
          <w:webHidden/>
          <w:sz w:val="24"/>
        </w:rPr>
        <w:tab/>
      </w:r>
    </w:p>
    <w:p w14:paraId="2899357C" w14:textId="77777777" w:rsidR="000E62FE" w:rsidRDefault="007C0468" w:rsidP="000D1D64">
      <w:pPr>
        <w:pStyle w:val="Level3"/>
        <w:rPr>
          <w:webHidden/>
          <w:sz w:val="24"/>
        </w:rPr>
      </w:pPr>
      <w:r>
        <w:rPr>
          <w:webHidden/>
          <w:sz w:val="24"/>
        </w:rPr>
        <w:t>patient submission of blood pressure readings</w:t>
      </w:r>
      <w:r w:rsidR="000E62FE" w:rsidRPr="000E62FE">
        <w:rPr>
          <w:webHidden/>
          <w:sz w:val="24"/>
        </w:rPr>
        <w:tab/>
      </w:r>
      <w:r w:rsidR="00934F13">
        <w:rPr>
          <w:webHidden/>
          <w:sz w:val="24"/>
        </w:rPr>
        <w:t>13</w:t>
      </w:r>
    </w:p>
    <w:p w14:paraId="18A594EA" w14:textId="5719EFEC" w:rsidR="00AB6E20" w:rsidRDefault="00AB6E20" w:rsidP="00AB6E20">
      <w:pPr>
        <w:pStyle w:val="Level3"/>
        <w:rPr>
          <w:webHidden/>
          <w:sz w:val="24"/>
        </w:rPr>
      </w:pPr>
      <w:r>
        <w:rPr>
          <w:webHidden/>
          <w:sz w:val="24"/>
        </w:rPr>
        <w:t xml:space="preserve"> screenshot of form used to enter patient submission of blood pressure readings</w:t>
      </w:r>
      <w:r w:rsidR="000D1D64">
        <w:rPr>
          <w:webHidden/>
          <w:sz w:val="24"/>
        </w:rPr>
        <w:t xml:space="preserve">                         </w:t>
      </w:r>
      <w:r w:rsidR="00934F13">
        <w:rPr>
          <w:webHidden/>
          <w:sz w:val="24"/>
        </w:rPr>
        <w:t>14</w:t>
      </w:r>
    </w:p>
    <w:p w14:paraId="234E97B2" w14:textId="77777777" w:rsidR="00AB6E20" w:rsidRPr="000E62FE" w:rsidRDefault="00AB6E20" w:rsidP="000E62FE">
      <w:pPr>
        <w:pStyle w:val="Level3"/>
        <w:jc w:val="center"/>
        <w:rPr>
          <w:webHidden/>
          <w:sz w:val="24"/>
        </w:rPr>
      </w:pPr>
    </w:p>
    <w:p w14:paraId="191E5478" w14:textId="77777777" w:rsidR="007B22DB" w:rsidRDefault="007B22DB" w:rsidP="000A7DFC">
      <w:pPr>
        <w:spacing w:after="0" w:line="240" w:lineRule="auto"/>
        <w:jc w:val="center"/>
        <w:rPr>
          <w:b/>
          <w:bCs/>
        </w:rPr>
      </w:pPr>
    </w:p>
    <w:p w14:paraId="3B9B3A0A" w14:textId="77777777" w:rsidR="007C0468" w:rsidRDefault="007C0468" w:rsidP="000A7DFC">
      <w:pPr>
        <w:spacing w:after="0" w:line="240" w:lineRule="auto"/>
        <w:jc w:val="center"/>
        <w:rPr>
          <w:b/>
          <w:bCs/>
        </w:rPr>
      </w:pPr>
    </w:p>
    <w:p w14:paraId="4DB940D8" w14:textId="77777777" w:rsidR="00DA2067" w:rsidRDefault="00DA2067" w:rsidP="0008392E">
      <w:pPr>
        <w:spacing w:after="0" w:line="240" w:lineRule="auto"/>
        <w:jc w:val="center"/>
        <w:rPr>
          <w:b/>
          <w:bCs/>
        </w:rPr>
      </w:pPr>
      <w:bookmarkStart w:id="0" w:name="_Hlk16675955"/>
    </w:p>
    <w:p w14:paraId="56DD65C3" w14:textId="77777777" w:rsidR="00DA2067" w:rsidRDefault="00DA2067" w:rsidP="0008392E">
      <w:pPr>
        <w:spacing w:after="0" w:line="240" w:lineRule="auto"/>
        <w:jc w:val="center"/>
        <w:rPr>
          <w:b/>
          <w:bCs/>
        </w:rPr>
      </w:pPr>
    </w:p>
    <w:p w14:paraId="39306B04" w14:textId="77777777" w:rsidR="00DA2067" w:rsidRDefault="00DA2067" w:rsidP="0008392E">
      <w:pPr>
        <w:spacing w:after="0" w:line="240" w:lineRule="auto"/>
        <w:jc w:val="center"/>
        <w:rPr>
          <w:b/>
          <w:bCs/>
        </w:rPr>
      </w:pPr>
    </w:p>
    <w:p w14:paraId="66835646" w14:textId="77777777" w:rsidR="00DA2067" w:rsidRDefault="00DA2067" w:rsidP="0008392E">
      <w:pPr>
        <w:spacing w:after="0" w:line="240" w:lineRule="auto"/>
        <w:jc w:val="center"/>
        <w:rPr>
          <w:b/>
          <w:bCs/>
        </w:rPr>
      </w:pPr>
    </w:p>
    <w:p w14:paraId="4B802291" w14:textId="77777777" w:rsidR="00B4329F" w:rsidRDefault="00B4329F" w:rsidP="0008392E">
      <w:pPr>
        <w:spacing w:after="0" w:line="240" w:lineRule="auto"/>
        <w:jc w:val="center"/>
        <w:rPr>
          <w:b/>
          <w:bCs/>
        </w:rPr>
      </w:pPr>
    </w:p>
    <w:p w14:paraId="5A1D4FF0" w14:textId="77777777" w:rsidR="00B4329F" w:rsidRDefault="00B4329F" w:rsidP="0008392E">
      <w:pPr>
        <w:spacing w:after="0" w:line="240" w:lineRule="auto"/>
        <w:jc w:val="center"/>
        <w:rPr>
          <w:b/>
          <w:bCs/>
        </w:rPr>
      </w:pPr>
    </w:p>
    <w:p w14:paraId="13FFC5DC" w14:textId="77777777" w:rsidR="00B4329F" w:rsidRDefault="00B4329F" w:rsidP="0008392E">
      <w:pPr>
        <w:spacing w:after="0" w:line="240" w:lineRule="auto"/>
        <w:jc w:val="center"/>
        <w:rPr>
          <w:b/>
          <w:bCs/>
        </w:rPr>
      </w:pPr>
    </w:p>
    <w:p w14:paraId="4629BD49" w14:textId="77777777" w:rsidR="00B4329F" w:rsidRDefault="00B4329F" w:rsidP="0008392E">
      <w:pPr>
        <w:spacing w:after="0" w:line="240" w:lineRule="auto"/>
        <w:jc w:val="center"/>
        <w:rPr>
          <w:b/>
          <w:bCs/>
        </w:rPr>
      </w:pPr>
    </w:p>
    <w:p w14:paraId="65E0F864" w14:textId="77777777" w:rsidR="00B4329F" w:rsidRDefault="00B4329F" w:rsidP="0008392E">
      <w:pPr>
        <w:spacing w:after="0" w:line="240" w:lineRule="auto"/>
        <w:jc w:val="center"/>
        <w:rPr>
          <w:b/>
          <w:bCs/>
        </w:rPr>
      </w:pPr>
    </w:p>
    <w:p w14:paraId="4D0E5F2F" w14:textId="0FCCF29A" w:rsidR="0008392E" w:rsidRDefault="0008392E" w:rsidP="0008392E">
      <w:pPr>
        <w:spacing w:after="0" w:line="240" w:lineRule="auto"/>
        <w:jc w:val="center"/>
      </w:pPr>
      <w:r>
        <w:rPr>
          <w:b/>
          <w:bCs/>
        </w:rPr>
        <w:lastRenderedPageBreak/>
        <w:t>CCE Measure</w:t>
      </w:r>
      <w:r w:rsidRPr="00B4618A">
        <w:rPr>
          <w:b/>
          <w:bCs/>
        </w:rPr>
        <w:t xml:space="preserve"> Specifica</w:t>
      </w:r>
      <w:r>
        <w:rPr>
          <w:b/>
          <w:bCs/>
        </w:rPr>
        <w:t xml:space="preserve">tions </w:t>
      </w:r>
      <w:r w:rsidR="00B05154">
        <w:rPr>
          <w:b/>
          <w:bCs/>
        </w:rPr>
        <w:t xml:space="preserve">for all </w:t>
      </w:r>
      <w:r>
        <w:rPr>
          <w:b/>
          <w:bCs/>
        </w:rPr>
        <w:t xml:space="preserve">SOW, effective </w:t>
      </w:r>
      <w:r w:rsidR="00F67BE2" w:rsidRPr="005B1671">
        <w:rPr>
          <w:b/>
          <w:bCs/>
        </w:rPr>
        <w:t xml:space="preserve">June </w:t>
      </w:r>
      <w:r w:rsidR="00825EC4" w:rsidRPr="005B1671">
        <w:rPr>
          <w:b/>
          <w:bCs/>
        </w:rPr>
        <w:t>30</w:t>
      </w:r>
      <w:r w:rsidR="00F67BE2" w:rsidRPr="005B1671">
        <w:rPr>
          <w:b/>
          <w:bCs/>
        </w:rPr>
        <w:t>,2022</w:t>
      </w:r>
    </w:p>
    <w:tbl>
      <w:tblPr>
        <w:tblStyle w:val="TableGrid"/>
        <w:tblW w:w="0" w:type="auto"/>
        <w:tblLook w:val="04A0" w:firstRow="1" w:lastRow="0" w:firstColumn="1" w:lastColumn="0" w:noHBand="0" w:noVBand="1"/>
      </w:tblPr>
      <w:tblGrid>
        <w:gridCol w:w="2065"/>
        <w:gridCol w:w="7285"/>
      </w:tblGrid>
      <w:tr w:rsidR="0008392E" w:rsidRPr="00B4618A" w14:paraId="3F437BB6" w14:textId="77777777" w:rsidTr="003E6501">
        <w:trPr>
          <w:trHeight w:val="375"/>
        </w:trPr>
        <w:tc>
          <w:tcPr>
            <w:tcW w:w="2065" w:type="dxa"/>
            <w:shd w:val="clear" w:color="auto" w:fill="D9E2F3" w:themeFill="accent1" w:themeFillTint="33"/>
            <w:hideMark/>
          </w:tcPr>
          <w:p w14:paraId="3B6667D7" w14:textId="77777777" w:rsidR="0008392E" w:rsidRPr="00B4618A" w:rsidRDefault="0008392E" w:rsidP="003E6501">
            <w:pPr>
              <w:rPr>
                <w:b/>
                <w:bCs/>
              </w:rPr>
            </w:pPr>
            <w:bookmarkStart w:id="1" w:name="_Hlk20739954"/>
          </w:p>
        </w:tc>
        <w:tc>
          <w:tcPr>
            <w:tcW w:w="7285" w:type="dxa"/>
            <w:shd w:val="clear" w:color="auto" w:fill="D9E2F3" w:themeFill="accent1" w:themeFillTint="33"/>
            <w:hideMark/>
          </w:tcPr>
          <w:p w14:paraId="62AA6DCF" w14:textId="77777777" w:rsidR="0008392E" w:rsidRPr="00B4618A" w:rsidRDefault="0008392E" w:rsidP="003E6501">
            <w:pPr>
              <w:rPr>
                <w:b/>
                <w:bCs/>
              </w:rPr>
            </w:pPr>
            <w:r w:rsidRPr="00440CE9">
              <w:rPr>
                <w:b/>
                <w:bCs/>
              </w:rPr>
              <w:t>Active Patient(s)</w:t>
            </w:r>
          </w:p>
        </w:tc>
      </w:tr>
      <w:tr w:rsidR="0008392E" w:rsidRPr="00B4618A" w14:paraId="521FBDBB" w14:textId="77777777" w:rsidTr="003E6501">
        <w:trPr>
          <w:trHeight w:val="315"/>
        </w:trPr>
        <w:tc>
          <w:tcPr>
            <w:tcW w:w="2065" w:type="dxa"/>
            <w:hideMark/>
          </w:tcPr>
          <w:p w14:paraId="1AEDC2F8" w14:textId="77777777" w:rsidR="0008392E" w:rsidRPr="00B4618A" w:rsidRDefault="0008392E" w:rsidP="003E6501">
            <w:pPr>
              <w:rPr>
                <w:b/>
                <w:bCs/>
              </w:rPr>
            </w:pPr>
            <w:r w:rsidRPr="00B4618A">
              <w:rPr>
                <w:b/>
                <w:bCs/>
              </w:rPr>
              <w:t>Measure Description</w:t>
            </w:r>
          </w:p>
        </w:tc>
        <w:tc>
          <w:tcPr>
            <w:tcW w:w="7285" w:type="dxa"/>
            <w:hideMark/>
          </w:tcPr>
          <w:p w14:paraId="2E5D735F" w14:textId="77777777" w:rsidR="0008392E" w:rsidRPr="00B4618A" w:rsidRDefault="0008392E" w:rsidP="003E6501">
            <w:r w:rsidRPr="00B4618A">
              <w:t>Patients</w:t>
            </w:r>
            <w:r>
              <w:t xml:space="preserve"> 18-85 years of age who have been</w:t>
            </w:r>
            <w:r w:rsidRPr="00B4618A">
              <w:t xml:space="preserve"> seen by a primary care clinician of the practice anytime within the last 12 months. </w:t>
            </w:r>
          </w:p>
        </w:tc>
      </w:tr>
      <w:tr w:rsidR="0008392E" w:rsidRPr="00B4618A" w14:paraId="0F1CA8CB" w14:textId="77777777" w:rsidTr="003E6501">
        <w:trPr>
          <w:trHeight w:val="315"/>
        </w:trPr>
        <w:tc>
          <w:tcPr>
            <w:tcW w:w="2065" w:type="dxa"/>
            <w:hideMark/>
          </w:tcPr>
          <w:p w14:paraId="26BE8DF2" w14:textId="77777777" w:rsidR="0008392E" w:rsidRPr="00B4618A" w:rsidRDefault="0008392E" w:rsidP="003E6501"/>
        </w:tc>
        <w:tc>
          <w:tcPr>
            <w:tcW w:w="7285" w:type="dxa"/>
            <w:hideMark/>
          </w:tcPr>
          <w:p w14:paraId="77583CAD" w14:textId="77777777" w:rsidR="0008392E" w:rsidRPr="00B4618A" w:rsidRDefault="0008392E" w:rsidP="003E6501"/>
        </w:tc>
      </w:tr>
      <w:tr w:rsidR="0008392E" w:rsidRPr="00B4618A" w14:paraId="44E2D8A3" w14:textId="77777777" w:rsidTr="003E6501">
        <w:trPr>
          <w:trHeight w:val="315"/>
        </w:trPr>
        <w:tc>
          <w:tcPr>
            <w:tcW w:w="2065" w:type="dxa"/>
            <w:hideMark/>
          </w:tcPr>
          <w:p w14:paraId="5984359B" w14:textId="77777777" w:rsidR="0008392E" w:rsidRPr="00B4618A" w:rsidRDefault="0008392E" w:rsidP="003E6501"/>
        </w:tc>
        <w:tc>
          <w:tcPr>
            <w:tcW w:w="7285" w:type="dxa"/>
            <w:hideMark/>
          </w:tcPr>
          <w:p w14:paraId="40096E8C" w14:textId="77777777" w:rsidR="0008392E" w:rsidRPr="00B4618A" w:rsidRDefault="0008392E" w:rsidP="003E6501">
            <w:r w:rsidRPr="00B4618A">
              <w:t xml:space="preserve">Definition of primary care clinician includes the following: MD/DO, Physician’s Assistant (PA), and Certified Nurse Practitioner (CNP). </w:t>
            </w:r>
          </w:p>
        </w:tc>
      </w:tr>
      <w:tr w:rsidR="004B4E55" w:rsidRPr="00B4618A" w14:paraId="0AFBAECB" w14:textId="77777777" w:rsidTr="00B05154">
        <w:trPr>
          <w:trHeight w:val="3131"/>
        </w:trPr>
        <w:tc>
          <w:tcPr>
            <w:tcW w:w="2065" w:type="dxa"/>
          </w:tcPr>
          <w:p w14:paraId="4D9DAEA5" w14:textId="77777777" w:rsidR="004B4E55" w:rsidRPr="00CE1BB8" w:rsidRDefault="004B4E55" w:rsidP="004B4E55">
            <w:pPr>
              <w:rPr>
                <w:b/>
              </w:rPr>
            </w:pPr>
            <w:r w:rsidRPr="00CE1BB8">
              <w:rPr>
                <w:b/>
              </w:rPr>
              <w:t>Acceptable Exclusions</w:t>
            </w:r>
          </w:p>
        </w:tc>
        <w:tc>
          <w:tcPr>
            <w:tcW w:w="7285" w:type="dxa"/>
          </w:tcPr>
          <w:p w14:paraId="3541CA15" w14:textId="77777777" w:rsidR="004B4E55" w:rsidRDefault="004B4E55" w:rsidP="004B4E55">
            <w:r>
              <w:t>Patients who have left the practice, as determined by one or more of the following:</w:t>
            </w:r>
          </w:p>
          <w:p w14:paraId="37F24ED0" w14:textId="77777777" w:rsidR="004B4E55" w:rsidRDefault="004B4E55" w:rsidP="004B4E55">
            <w:pPr>
              <w:pStyle w:val="ListParagraph"/>
              <w:numPr>
                <w:ilvl w:val="0"/>
                <w:numId w:val="2"/>
              </w:numPr>
            </w:pPr>
            <w:r>
              <w:t>Patient has asked for records to be transferred or otherwise indicated that they are leaving the practice</w:t>
            </w:r>
          </w:p>
          <w:p w14:paraId="65C64A77" w14:textId="77777777" w:rsidR="004B4E55" w:rsidRDefault="004B4E55" w:rsidP="004B4E55">
            <w:pPr>
              <w:pStyle w:val="ListParagraph"/>
              <w:numPr>
                <w:ilvl w:val="0"/>
                <w:numId w:val="2"/>
              </w:numPr>
            </w:pPr>
            <w:r>
              <w:t>Patient has passed away</w:t>
            </w:r>
          </w:p>
          <w:p w14:paraId="0323AD52" w14:textId="77777777" w:rsidR="004B4E55" w:rsidRDefault="004B4E55" w:rsidP="004B4E55">
            <w:pPr>
              <w:pStyle w:val="ListParagraph"/>
              <w:numPr>
                <w:ilvl w:val="0"/>
                <w:numId w:val="2"/>
              </w:numPr>
            </w:pPr>
            <w:r>
              <w:t>Patient cannot be reached on 3 consecutive occasions via phone or emergency contact person</w:t>
            </w:r>
          </w:p>
          <w:p w14:paraId="0ABCE075" w14:textId="77777777" w:rsidR="004B4E55" w:rsidRPr="00B4618A" w:rsidRDefault="004B4E55" w:rsidP="004B4E55">
            <w:pPr>
              <w:pStyle w:val="ListParagraph"/>
              <w:numPr>
                <w:ilvl w:val="0"/>
                <w:numId w:val="2"/>
              </w:numPr>
            </w:pPr>
            <w:r>
              <w:t>Patient has been discharged according to a practice’s discharge policy</w:t>
            </w:r>
          </w:p>
        </w:tc>
      </w:tr>
      <w:bookmarkEnd w:id="0"/>
      <w:bookmarkEnd w:id="1"/>
    </w:tbl>
    <w:p w14:paraId="746D5463" w14:textId="77777777" w:rsidR="00B25520" w:rsidRDefault="00B25520" w:rsidP="000A7DFC">
      <w:pPr>
        <w:spacing w:after="0" w:line="240" w:lineRule="auto"/>
        <w:jc w:val="center"/>
        <w:rPr>
          <w:b/>
          <w:bCs/>
        </w:rPr>
      </w:pPr>
    </w:p>
    <w:p w14:paraId="214B42D2" w14:textId="77777777" w:rsidR="000C7EC1" w:rsidRDefault="000C7EC1" w:rsidP="004D491F">
      <w:pPr>
        <w:spacing w:after="0" w:line="240" w:lineRule="auto"/>
      </w:pPr>
    </w:p>
    <w:p w14:paraId="0ED4381F" w14:textId="77777777" w:rsidR="00C54D0B" w:rsidRDefault="00C54D0B" w:rsidP="004D491F">
      <w:pPr>
        <w:spacing w:after="0" w:line="240" w:lineRule="auto"/>
        <w:rPr>
          <w:i/>
        </w:rPr>
      </w:pPr>
    </w:p>
    <w:p w14:paraId="1EA906E2" w14:textId="77777777" w:rsidR="00C54D0B" w:rsidRDefault="00C54D0B" w:rsidP="004D491F">
      <w:pPr>
        <w:spacing w:after="0" w:line="240" w:lineRule="auto"/>
        <w:rPr>
          <w:i/>
        </w:rPr>
      </w:pPr>
    </w:p>
    <w:p w14:paraId="3F6EAC1F" w14:textId="77777777" w:rsidR="00C54D0B" w:rsidRDefault="00C54D0B" w:rsidP="004D491F">
      <w:pPr>
        <w:spacing w:after="0" w:line="240" w:lineRule="auto"/>
        <w:rPr>
          <w:i/>
        </w:rPr>
      </w:pPr>
    </w:p>
    <w:p w14:paraId="5F692EA7" w14:textId="77777777" w:rsidR="00C54D0B" w:rsidRDefault="00C54D0B" w:rsidP="004D491F">
      <w:pPr>
        <w:spacing w:after="0" w:line="240" w:lineRule="auto"/>
        <w:rPr>
          <w:i/>
        </w:rPr>
      </w:pPr>
    </w:p>
    <w:p w14:paraId="7A20C5B9" w14:textId="77777777" w:rsidR="00C54D0B" w:rsidRDefault="00C54D0B" w:rsidP="004D491F">
      <w:pPr>
        <w:spacing w:after="0" w:line="240" w:lineRule="auto"/>
        <w:rPr>
          <w:i/>
        </w:rPr>
      </w:pPr>
    </w:p>
    <w:p w14:paraId="12C34454" w14:textId="77777777" w:rsidR="00C54D0B" w:rsidRDefault="00C54D0B" w:rsidP="004D491F">
      <w:pPr>
        <w:spacing w:after="0" w:line="240" w:lineRule="auto"/>
        <w:rPr>
          <w:i/>
        </w:rPr>
      </w:pPr>
    </w:p>
    <w:p w14:paraId="558EA181" w14:textId="77777777" w:rsidR="00C54D0B" w:rsidRDefault="00C54D0B" w:rsidP="004D491F">
      <w:pPr>
        <w:spacing w:after="0" w:line="240" w:lineRule="auto"/>
        <w:rPr>
          <w:i/>
        </w:rPr>
      </w:pPr>
    </w:p>
    <w:p w14:paraId="565D805D" w14:textId="77777777" w:rsidR="00C54D0B" w:rsidRDefault="00C54D0B" w:rsidP="004D491F">
      <w:pPr>
        <w:spacing w:after="0" w:line="240" w:lineRule="auto"/>
        <w:rPr>
          <w:i/>
        </w:rPr>
      </w:pPr>
    </w:p>
    <w:p w14:paraId="443AB553" w14:textId="77777777" w:rsidR="00C54D0B" w:rsidRDefault="00C54D0B" w:rsidP="004D491F">
      <w:pPr>
        <w:spacing w:after="0" w:line="240" w:lineRule="auto"/>
        <w:rPr>
          <w:i/>
        </w:rPr>
      </w:pPr>
    </w:p>
    <w:p w14:paraId="277EB4A1" w14:textId="77777777" w:rsidR="00C54D0B" w:rsidRDefault="00C54D0B" w:rsidP="004D491F">
      <w:pPr>
        <w:spacing w:after="0" w:line="240" w:lineRule="auto"/>
        <w:rPr>
          <w:i/>
        </w:rPr>
      </w:pPr>
    </w:p>
    <w:p w14:paraId="4D207867" w14:textId="77777777" w:rsidR="00C54D0B" w:rsidRDefault="00C54D0B" w:rsidP="004D491F">
      <w:pPr>
        <w:spacing w:after="0" w:line="240" w:lineRule="auto"/>
        <w:rPr>
          <w:i/>
        </w:rPr>
      </w:pPr>
    </w:p>
    <w:p w14:paraId="3903F339" w14:textId="77777777" w:rsidR="00C54D0B" w:rsidRDefault="00C54D0B" w:rsidP="004D491F">
      <w:pPr>
        <w:spacing w:after="0" w:line="240" w:lineRule="auto"/>
        <w:rPr>
          <w:i/>
        </w:rPr>
      </w:pPr>
    </w:p>
    <w:p w14:paraId="19993309" w14:textId="77777777" w:rsidR="00C54D0B" w:rsidRDefault="00C54D0B" w:rsidP="004D491F">
      <w:pPr>
        <w:spacing w:after="0" w:line="240" w:lineRule="auto"/>
        <w:rPr>
          <w:i/>
        </w:rPr>
      </w:pPr>
    </w:p>
    <w:p w14:paraId="473DC993" w14:textId="77777777" w:rsidR="00C54D0B" w:rsidRDefault="00C54D0B" w:rsidP="004D491F">
      <w:pPr>
        <w:spacing w:after="0" w:line="240" w:lineRule="auto"/>
        <w:rPr>
          <w:i/>
        </w:rPr>
      </w:pPr>
    </w:p>
    <w:p w14:paraId="27D06D0B" w14:textId="77777777" w:rsidR="00C54D0B" w:rsidRDefault="00C54D0B" w:rsidP="004D491F">
      <w:pPr>
        <w:spacing w:after="0" w:line="240" w:lineRule="auto"/>
        <w:rPr>
          <w:i/>
        </w:rPr>
      </w:pPr>
    </w:p>
    <w:p w14:paraId="5F4F319A" w14:textId="516F333A" w:rsidR="00F275C6" w:rsidRDefault="000B415E" w:rsidP="004D491F">
      <w:pPr>
        <w:spacing w:after="0" w:line="240" w:lineRule="auto"/>
      </w:pPr>
      <w:r w:rsidRPr="000C7EC1">
        <w:rPr>
          <w:i/>
        </w:rPr>
        <w:lastRenderedPageBreak/>
        <w:t>Screenshot</w:t>
      </w:r>
      <w:r w:rsidR="00C54D0B">
        <w:rPr>
          <w:i/>
        </w:rPr>
        <w:t>s</w:t>
      </w:r>
      <w:r w:rsidRPr="000C7EC1">
        <w:rPr>
          <w:i/>
        </w:rPr>
        <w:t xml:space="preserve"> </w:t>
      </w:r>
      <w:r>
        <w:rPr>
          <w:i/>
        </w:rPr>
        <w:t>of</w:t>
      </w:r>
      <w:r w:rsidRPr="000C7EC1">
        <w:rPr>
          <w:i/>
        </w:rPr>
        <w:t xml:space="preserve"> Form </w:t>
      </w:r>
      <w:r>
        <w:rPr>
          <w:i/>
        </w:rPr>
        <w:t>used to submit Measure Data</w:t>
      </w:r>
      <w:r>
        <w:rPr>
          <w:noProof/>
        </w:rPr>
        <w:t xml:space="preserve"> </w:t>
      </w:r>
      <w:r w:rsidR="000C7EC1">
        <w:rPr>
          <w:noProof/>
        </w:rPr>
        <w:drawing>
          <wp:inline distT="0" distB="0" distL="0" distR="0" wp14:anchorId="10E5F03B" wp14:editId="525509F7">
            <wp:extent cx="5713730" cy="2048000"/>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9085" cy="2096516"/>
                    </a:xfrm>
                    <a:prstGeom prst="rect">
                      <a:avLst/>
                    </a:prstGeom>
                  </pic:spPr>
                </pic:pic>
              </a:graphicData>
            </a:graphic>
          </wp:inline>
        </w:drawing>
      </w:r>
    </w:p>
    <w:p w14:paraId="7C2ECD70" w14:textId="77777777" w:rsidR="00B25520" w:rsidRDefault="00B25520" w:rsidP="000A7DFC">
      <w:pPr>
        <w:spacing w:after="0" w:line="240" w:lineRule="auto"/>
        <w:jc w:val="center"/>
        <w:rPr>
          <w:b/>
          <w:bCs/>
        </w:rPr>
      </w:pPr>
    </w:p>
    <w:p w14:paraId="2A8C427E" w14:textId="77777777" w:rsidR="00422776" w:rsidRDefault="00422776" w:rsidP="000A7DFC">
      <w:pPr>
        <w:spacing w:after="0" w:line="240" w:lineRule="auto"/>
        <w:jc w:val="center"/>
        <w:rPr>
          <w:b/>
          <w:bCs/>
        </w:rPr>
      </w:pPr>
    </w:p>
    <w:p w14:paraId="61DF988A" w14:textId="494952EC" w:rsidR="00375136" w:rsidRDefault="003F03A6" w:rsidP="000A7DFC">
      <w:pPr>
        <w:spacing w:after="0" w:line="240" w:lineRule="auto"/>
        <w:jc w:val="center"/>
        <w:rPr>
          <w:b/>
          <w:bCs/>
        </w:rPr>
      </w:pPr>
      <w:r>
        <w:rPr>
          <w:noProof/>
        </w:rPr>
        <w:drawing>
          <wp:inline distT="0" distB="0" distL="0" distR="0" wp14:anchorId="1CFF0A91" wp14:editId="15B9C29E">
            <wp:extent cx="5796387" cy="2341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4612" cy="2364763"/>
                    </a:xfrm>
                    <a:prstGeom prst="rect">
                      <a:avLst/>
                    </a:prstGeom>
                  </pic:spPr>
                </pic:pic>
              </a:graphicData>
            </a:graphic>
          </wp:inline>
        </w:drawing>
      </w:r>
    </w:p>
    <w:p w14:paraId="59EBCBE2" w14:textId="77777777" w:rsidR="00375136" w:rsidRDefault="00375136" w:rsidP="000A7DFC">
      <w:pPr>
        <w:spacing w:after="0" w:line="240" w:lineRule="auto"/>
        <w:jc w:val="center"/>
        <w:rPr>
          <w:b/>
          <w:bCs/>
        </w:rPr>
      </w:pPr>
    </w:p>
    <w:p w14:paraId="45F99091" w14:textId="77777777" w:rsidR="00375136" w:rsidRDefault="00375136" w:rsidP="000A7DFC">
      <w:pPr>
        <w:spacing w:after="0" w:line="240" w:lineRule="auto"/>
        <w:jc w:val="center"/>
        <w:rPr>
          <w:b/>
          <w:bCs/>
        </w:rPr>
      </w:pPr>
    </w:p>
    <w:p w14:paraId="122BE0FF" w14:textId="77A27424" w:rsidR="00375136" w:rsidRDefault="003F03A6" w:rsidP="000A7DFC">
      <w:pPr>
        <w:spacing w:after="0" w:line="240" w:lineRule="auto"/>
        <w:jc w:val="center"/>
        <w:rPr>
          <w:b/>
          <w:bCs/>
        </w:rPr>
      </w:pPr>
      <w:r>
        <w:rPr>
          <w:noProof/>
        </w:rPr>
        <w:drawing>
          <wp:inline distT="0" distB="0" distL="0" distR="0" wp14:anchorId="2E4E9199" wp14:editId="23CD2477">
            <wp:extent cx="5723882" cy="1929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1794" cy="1952661"/>
                    </a:xfrm>
                    <a:prstGeom prst="rect">
                      <a:avLst/>
                    </a:prstGeom>
                  </pic:spPr>
                </pic:pic>
              </a:graphicData>
            </a:graphic>
          </wp:inline>
        </w:drawing>
      </w:r>
    </w:p>
    <w:p w14:paraId="5E32C8DF" w14:textId="710A65B3" w:rsidR="0003215A" w:rsidRDefault="0003215A" w:rsidP="00E60DF2">
      <w:pPr>
        <w:spacing w:after="0" w:line="240" w:lineRule="auto"/>
      </w:pPr>
    </w:p>
    <w:p w14:paraId="61A72564" w14:textId="328BE076" w:rsidR="0003215A" w:rsidRPr="00E60DF2" w:rsidRDefault="00E60DF2" w:rsidP="008375F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lastRenderedPageBreak/>
        <w:t xml:space="preserve">CCE Measure Specifications Prediabetes/Diabetes SOW, </w:t>
      </w:r>
      <w:r w:rsidRPr="005B1671">
        <w:rPr>
          <w:rStyle w:val="normaltextrun"/>
          <w:rFonts w:ascii="Calibri" w:hAnsi="Calibri" w:cs="Calibri"/>
          <w:b/>
          <w:bCs/>
          <w:sz w:val="22"/>
          <w:szCs w:val="22"/>
        </w:rPr>
        <w:t xml:space="preserve">effective </w:t>
      </w:r>
      <w:r w:rsidR="006F6EFC" w:rsidRPr="005B1671">
        <w:rPr>
          <w:rStyle w:val="normaltextrun"/>
          <w:rFonts w:ascii="Calibri" w:hAnsi="Calibri" w:cs="Calibri"/>
          <w:b/>
          <w:bCs/>
          <w:sz w:val="22"/>
          <w:szCs w:val="22"/>
        </w:rPr>
        <w:t xml:space="preserve">June </w:t>
      </w:r>
      <w:r w:rsidR="00825EC4" w:rsidRPr="005B1671">
        <w:rPr>
          <w:rStyle w:val="normaltextrun"/>
          <w:rFonts w:ascii="Calibri" w:hAnsi="Calibri" w:cs="Calibri"/>
          <w:b/>
          <w:bCs/>
          <w:sz w:val="22"/>
          <w:szCs w:val="22"/>
        </w:rPr>
        <w:t>30</w:t>
      </w:r>
      <w:r w:rsidR="006F6EFC" w:rsidRPr="005B1671">
        <w:rPr>
          <w:rStyle w:val="normaltextrun"/>
          <w:rFonts w:ascii="Calibri" w:hAnsi="Calibri" w:cs="Calibri"/>
          <w:b/>
          <w:bCs/>
          <w:sz w:val="22"/>
          <w:szCs w:val="22"/>
        </w:rPr>
        <w:t>,2022</w:t>
      </w:r>
      <w:r>
        <w:rPr>
          <w:rStyle w:val="normaltextrun"/>
          <w:rFonts w:ascii="Calibri" w:hAnsi="Calibri" w:cs="Calibri"/>
          <w:b/>
          <w:bCs/>
          <w:sz w:val="22"/>
          <w:szCs w:val="22"/>
        </w:rPr>
        <w:t> </w:t>
      </w:r>
      <w:r>
        <w:rPr>
          <w:rStyle w:val="eop"/>
          <w:rFonts w:ascii="Calibri" w:hAnsi="Calibri" w:cs="Calibri"/>
          <w:sz w:val="22"/>
          <w:szCs w:val="22"/>
        </w:rPr>
        <w:t> </w:t>
      </w:r>
      <w:r>
        <w:rPr>
          <w:rStyle w:val="eop"/>
          <w:rFonts w:ascii="Calibri" w:hAnsi="Calibri" w:cs="Calibri"/>
          <w:color w:val="FF0000"/>
          <w:sz w:val="28"/>
          <w:szCs w:val="28"/>
        </w:rPr>
        <w:t> </w:t>
      </w:r>
    </w:p>
    <w:p w14:paraId="77AB6046" w14:textId="04996414" w:rsidR="0003215A" w:rsidRDefault="0003215A" w:rsidP="000A7DFC">
      <w:pPr>
        <w:spacing w:after="0" w:line="240" w:lineRule="auto"/>
        <w:jc w:val="center"/>
      </w:pP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2"/>
        <w:gridCol w:w="7912"/>
      </w:tblGrid>
      <w:tr w:rsidR="007D1A16" w:rsidRPr="00E60DF2" w14:paraId="0E5EEF13" w14:textId="77777777" w:rsidTr="007D1A16">
        <w:trPr>
          <w:trHeight w:val="360"/>
        </w:trPr>
        <w:tc>
          <w:tcPr>
            <w:tcW w:w="1432" w:type="dxa"/>
            <w:tcBorders>
              <w:top w:val="single" w:sz="6" w:space="0" w:color="auto"/>
              <w:left w:val="single" w:sz="6" w:space="0" w:color="auto"/>
              <w:bottom w:val="single" w:sz="6" w:space="0" w:color="auto"/>
              <w:right w:val="single" w:sz="6" w:space="0" w:color="auto"/>
            </w:tcBorders>
            <w:shd w:val="clear" w:color="auto" w:fill="D9E2F3"/>
            <w:hideMark/>
          </w:tcPr>
          <w:p w14:paraId="65F452A0"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rPr>
              <w:t> </w:t>
            </w:r>
          </w:p>
        </w:tc>
        <w:tc>
          <w:tcPr>
            <w:tcW w:w="7912" w:type="dxa"/>
            <w:tcBorders>
              <w:top w:val="single" w:sz="6" w:space="0" w:color="auto"/>
              <w:left w:val="nil"/>
              <w:bottom w:val="single" w:sz="6" w:space="0" w:color="auto"/>
              <w:right w:val="single" w:sz="6" w:space="0" w:color="auto"/>
            </w:tcBorders>
            <w:shd w:val="clear" w:color="auto" w:fill="D9E2F3"/>
            <w:hideMark/>
          </w:tcPr>
          <w:p w14:paraId="32E00F01" w14:textId="3B2FC309" w:rsidR="00C526E4" w:rsidRDefault="00E60DF2" w:rsidP="00E60DF2">
            <w:pPr>
              <w:spacing w:after="0" w:line="240" w:lineRule="auto"/>
              <w:textAlignment w:val="baseline"/>
              <w:rPr>
                <w:rFonts w:ascii="Calibri" w:eastAsia="Times New Roman" w:hAnsi="Calibri" w:cs="Calibri"/>
              </w:rPr>
            </w:pPr>
            <w:r w:rsidRPr="00E60DF2">
              <w:rPr>
                <w:rFonts w:ascii="Calibri" w:eastAsia="Times New Roman" w:hAnsi="Calibri" w:cs="Calibri"/>
                <w:b/>
                <w:bCs/>
              </w:rPr>
              <w:t>Prediabetes  Measure</w:t>
            </w:r>
            <w:r w:rsidRPr="00E60DF2">
              <w:rPr>
                <w:rFonts w:ascii="Calibri" w:eastAsia="Times New Roman" w:hAnsi="Calibri" w:cs="Calibri"/>
              </w:rPr>
              <w:t> </w:t>
            </w:r>
            <w:r w:rsidR="006F6EFC">
              <w:rPr>
                <w:rFonts w:ascii="Calibri" w:eastAsia="Times New Roman" w:hAnsi="Calibri" w:cs="Calibri"/>
              </w:rPr>
              <w:t xml:space="preserve">  </w:t>
            </w:r>
          </w:p>
          <w:p w14:paraId="6912B963" w14:textId="42D9D5B1" w:rsidR="00E60DF2" w:rsidRPr="00E60DF2" w:rsidRDefault="00C526E4" w:rsidP="00E60DF2">
            <w:pPr>
              <w:spacing w:after="0" w:line="240" w:lineRule="auto"/>
              <w:textAlignment w:val="baseline"/>
              <w:rPr>
                <w:rFonts w:ascii="Segoe UI" w:eastAsia="Times New Roman" w:hAnsi="Segoe UI" w:cs="Segoe UI"/>
                <w:sz w:val="18"/>
                <w:szCs w:val="18"/>
              </w:rPr>
            </w:pPr>
            <w:r>
              <w:rPr>
                <w:rFonts w:ascii="Calibri" w:eastAsia="Times New Roman" w:hAnsi="Calibri" w:cs="Calibri"/>
                <w:b/>
                <w:bCs/>
              </w:rPr>
              <w:t xml:space="preserve"> Please refer to Scope of Work Document for further suggestions.</w:t>
            </w:r>
          </w:p>
        </w:tc>
      </w:tr>
      <w:tr w:rsidR="007D1A16" w:rsidRPr="00E60DF2" w14:paraId="42698F8D" w14:textId="77777777" w:rsidTr="007D1A16">
        <w:trPr>
          <w:trHeight w:val="945"/>
        </w:trPr>
        <w:tc>
          <w:tcPr>
            <w:tcW w:w="1432" w:type="dxa"/>
            <w:tcBorders>
              <w:top w:val="nil"/>
              <w:left w:val="single" w:sz="6" w:space="0" w:color="auto"/>
              <w:bottom w:val="single" w:sz="6" w:space="0" w:color="auto"/>
              <w:right w:val="single" w:sz="6" w:space="0" w:color="auto"/>
            </w:tcBorders>
            <w:shd w:val="clear" w:color="auto" w:fill="auto"/>
            <w:hideMark/>
          </w:tcPr>
          <w:p w14:paraId="6B0652CA"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Measure Description</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6CA2F3A2" w14:textId="3D518792"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color w:val="333333"/>
              </w:rPr>
              <w:t xml:space="preserve">Percentage of patients aged </w:t>
            </w:r>
            <w:r w:rsidR="00B7362C">
              <w:rPr>
                <w:rFonts w:ascii="Calibri" w:eastAsia="Times New Roman" w:hAnsi="Calibri" w:cs="Calibri"/>
                <w:color w:val="333333"/>
              </w:rPr>
              <w:t>21</w:t>
            </w:r>
            <w:r w:rsidRPr="00E60DF2">
              <w:rPr>
                <w:rFonts w:ascii="Calibri" w:eastAsia="Times New Roman" w:hAnsi="Calibri" w:cs="Calibri"/>
                <w:color w:val="333333"/>
              </w:rPr>
              <w:t xml:space="preserve"> years and older who have risk factors for diabetes</w:t>
            </w:r>
            <w:r w:rsidR="004D0C92">
              <w:rPr>
                <w:rFonts w:ascii="Calibri" w:eastAsia="Times New Roman" w:hAnsi="Calibri" w:cs="Calibri"/>
                <w:color w:val="333333"/>
              </w:rPr>
              <w:t>,</w:t>
            </w:r>
            <w:r w:rsidRPr="00E60DF2">
              <w:rPr>
                <w:rFonts w:ascii="Calibri" w:eastAsia="Times New Roman" w:hAnsi="Calibri" w:cs="Calibri"/>
                <w:color w:val="333333"/>
              </w:rPr>
              <w:t xml:space="preserve"> were seen for at least two office visits or one preventive visit in the 12-month measurement </w:t>
            </w:r>
            <w:r w:rsidR="00660E17" w:rsidRPr="00E60DF2">
              <w:rPr>
                <w:rFonts w:ascii="Calibri" w:eastAsia="Times New Roman" w:hAnsi="Calibri" w:cs="Calibri"/>
                <w:color w:val="333333"/>
              </w:rPr>
              <w:t>period</w:t>
            </w:r>
            <w:r w:rsidR="00660E17">
              <w:rPr>
                <w:rFonts w:ascii="Calibri" w:eastAsia="Times New Roman" w:hAnsi="Calibri" w:cs="Calibri"/>
                <w:color w:val="333333"/>
              </w:rPr>
              <w:t xml:space="preserve"> and</w:t>
            </w:r>
            <w:r w:rsidRPr="00E60DF2">
              <w:rPr>
                <w:rFonts w:ascii="Calibri" w:eastAsia="Times New Roman" w:hAnsi="Calibri" w:cs="Calibri"/>
                <w:color w:val="333333"/>
              </w:rPr>
              <w:t xml:space="preserve"> were screened or have documented previous results for abnormal blood glucose at least once in the last 3 years</w:t>
            </w:r>
            <w:r w:rsidR="001C0477">
              <w:rPr>
                <w:rFonts w:ascii="Calibri" w:eastAsia="Times New Roman" w:hAnsi="Calibri" w:cs="Calibri"/>
                <w:color w:val="333333"/>
              </w:rPr>
              <w:t xml:space="preserve"> (</w:t>
            </w:r>
            <w:r w:rsidRPr="00E60DF2">
              <w:rPr>
                <w:rFonts w:ascii="Calibri" w:eastAsia="Times New Roman" w:hAnsi="Calibri" w:cs="Calibri"/>
                <w:color w:val="333333"/>
              </w:rPr>
              <w:t>R73.03</w:t>
            </w:r>
            <w:r w:rsidR="001C0477">
              <w:rPr>
                <w:rFonts w:ascii="Calibri" w:eastAsia="Times New Roman" w:hAnsi="Calibri" w:cs="Calibri"/>
                <w:color w:val="333333"/>
              </w:rPr>
              <w:t>)</w:t>
            </w:r>
          </w:p>
        </w:tc>
      </w:tr>
      <w:tr w:rsidR="007D1A16" w:rsidRPr="00E60DF2" w14:paraId="06FE9FD3" w14:textId="77777777" w:rsidTr="007D1A16">
        <w:trPr>
          <w:trHeight w:val="360"/>
        </w:trPr>
        <w:tc>
          <w:tcPr>
            <w:tcW w:w="1432" w:type="dxa"/>
            <w:tcBorders>
              <w:top w:val="nil"/>
              <w:left w:val="single" w:sz="6" w:space="0" w:color="auto"/>
              <w:bottom w:val="single" w:sz="6" w:space="0" w:color="auto"/>
              <w:right w:val="single" w:sz="6" w:space="0" w:color="auto"/>
            </w:tcBorders>
            <w:shd w:val="clear" w:color="auto" w:fill="auto"/>
            <w:hideMark/>
          </w:tcPr>
          <w:p w14:paraId="66B4FE3F"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Measurement Period</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488A918D"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rPr>
              <w:t>12 months </w:t>
            </w:r>
          </w:p>
        </w:tc>
      </w:tr>
      <w:tr w:rsidR="007D1A16" w:rsidRPr="00E60DF2" w14:paraId="46D88DAF" w14:textId="77777777" w:rsidTr="007D1A16">
        <w:trPr>
          <w:trHeight w:val="360"/>
        </w:trPr>
        <w:tc>
          <w:tcPr>
            <w:tcW w:w="1432" w:type="dxa"/>
            <w:tcBorders>
              <w:top w:val="nil"/>
              <w:left w:val="single" w:sz="6" w:space="0" w:color="auto"/>
              <w:bottom w:val="single" w:sz="6" w:space="0" w:color="auto"/>
              <w:right w:val="single" w:sz="6" w:space="0" w:color="auto"/>
            </w:tcBorders>
            <w:shd w:val="clear" w:color="auto" w:fill="auto"/>
            <w:hideMark/>
          </w:tcPr>
          <w:p w14:paraId="71460DB5"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Numerator</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2788D177"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rPr>
              <w:t>Patients who were screened for abnormal blood glucose at least once in the last 3 years </w:t>
            </w:r>
          </w:p>
        </w:tc>
      </w:tr>
      <w:tr w:rsidR="007D1A16" w:rsidRPr="00E60DF2" w14:paraId="73F03118" w14:textId="77777777" w:rsidTr="007D1A16">
        <w:trPr>
          <w:trHeight w:val="4410"/>
        </w:trPr>
        <w:tc>
          <w:tcPr>
            <w:tcW w:w="1432" w:type="dxa"/>
            <w:tcBorders>
              <w:top w:val="nil"/>
              <w:left w:val="single" w:sz="6" w:space="0" w:color="auto"/>
              <w:bottom w:val="single" w:sz="6" w:space="0" w:color="auto"/>
              <w:right w:val="single" w:sz="6" w:space="0" w:color="auto"/>
            </w:tcBorders>
            <w:shd w:val="clear" w:color="auto" w:fill="auto"/>
            <w:hideMark/>
          </w:tcPr>
          <w:p w14:paraId="7CC0490A"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Denominator</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77BEF5FF" w14:textId="26835744" w:rsidR="00E60DF2" w:rsidRPr="00CB2297" w:rsidRDefault="00E60DF2" w:rsidP="003E68C4">
            <w:pPr>
              <w:spacing w:after="0" w:line="240" w:lineRule="auto"/>
              <w:textAlignment w:val="baseline"/>
              <w:rPr>
                <w:rFonts w:ascii="Segoe UI" w:eastAsia="Times New Roman" w:hAnsi="Segoe UI" w:cs="Segoe UI"/>
                <w:sz w:val="18"/>
                <w:szCs w:val="18"/>
              </w:rPr>
            </w:pPr>
            <w:r w:rsidRPr="003E68C4">
              <w:rPr>
                <w:rFonts w:ascii="Calibri" w:eastAsia="Times New Roman" w:hAnsi="Calibri" w:cs="Calibri"/>
              </w:rPr>
              <w:t>All patients aged 21 years and older who have risk factors* for diabetes seen for at least 2 office visits or one preventive visit during the 12-month measurement period</w:t>
            </w:r>
            <w:r w:rsidR="007D1A16" w:rsidRPr="003E68C4">
              <w:rPr>
                <w:rFonts w:ascii="Calibri" w:eastAsia="Times New Roman" w:hAnsi="Calibri" w:cs="Calibri"/>
              </w:rPr>
              <w:t>.</w:t>
            </w:r>
            <w:r w:rsidRPr="003E68C4">
              <w:rPr>
                <w:rFonts w:ascii="Calibri" w:eastAsia="Times New Roman" w:hAnsi="Calibri" w:cs="Calibri"/>
              </w:rPr>
              <w:t xml:space="preserve"> Risk factors for diabetes include: Adults who are overweight or obese (BMI ≥25 kg/m2 or ≥23 kg/m2 in Asian Americans) who have one or more of the following: First-degree relative with diabetes                                                                                                                                               •</w:t>
            </w:r>
            <w:r w:rsidRPr="003E68C4">
              <w:t xml:space="preserve">High-risk race/ethnicity (e.g., African American, Latino, Native American, Asian </w:t>
            </w:r>
            <w:r w:rsidR="003E68C4">
              <w:t xml:space="preserve">   </w:t>
            </w:r>
            <w:r w:rsidRPr="003E68C4">
              <w:t>American, Pacific Islander) </w:t>
            </w:r>
            <w:r w:rsidRPr="003E68C4">
              <w:br/>
              <w:t>•History of CVD </w:t>
            </w:r>
            <w:r w:rsidRPr="003E68C4">
              <w:br/>
              <w:t>•Blood pressure ≥140/90 mmHg or on therapy for hypertension </w:t>
            </w:r>
            <w:r w:rsidRPr="003E68C4">
              <w:br/>
              <w:t>•HDL cholesterol level &lt;35 mg/dL (0.90 mmol/L) and/or triglyceride level &gt;250  </w:t>
            </w:r>
            <w:r w:rsidRPr="003E68C4">
              <w:br/>
              <w:t>mg/dL (2.82 mmol/L)or on therapy for hypercholesterolemia </w:t>
            </w:r>
            <w:r w:rsidRPr="003E68C4">
              <w:br/>
              <w:t>•Women with polycystic ovary syndrome </w:t>
            </w:r>
            <w:r w:rsidRPr="003E68C4">
              <w:br/>
              <w:t>•Physical inactivity </w:t>
            </w:r>
            <w:r w:rsidRPr="003E68C4">
              <w:br/>
              <w:t>•Other clinical conditions associated with insulin resistance (e.g., severe obesity,  </w:t>
            </w:r>
            <w:r w:rsidRPr="003E68C4">
              <w:br/>
              <w:t>acanthosis nigricans) </w:t>
            </w:r>
            <w:r w:rsidRPr="003E68C4">
              <w:br/>
              <w:t>•History of gestational diabetes mellitus </w:t>
            </w:r>
          </w:p>
        </w:tc>
      </w:tr>
      <w:tr w:rsidR="007D1A16" w:rsidRPr="00E60DF2" w14:paraId="25286250" w14:textId="77777777" w:rsidTr="007D1A16">
        <w:trPr>
          <w:trHeight w:val="945"/>
        </w:trPr>
        <w:tc>
          <w:tcPr>
            <w:tcW w:w="1432" w:type="dxa"/>
            <w:tcBorders>
              <w:top w:val="nil"/>
              <w:left w:val="single" w:sz="6" w:space="0" w:color="auto"/>
              <w:bottom w:val="single" w:sz="6" w:space="0" w:color="auto"/>
              <w:right w:val="single" w:sz="6" w:space="0" w:color="auto"/>
            </w:tcBorders>
            <w:shd w:val="clear" w:color="auto" w:fill="auto"/>
            <w:hideMark/>
          </w:tcPr>
          <w:p w14:paraId="6098507D"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Denominator Exclusions</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4E54C578"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rPr>
              <w:t>Exclude patients who are pregnant. Exclude patients who have any existing diagnosis 2 diabetes (Type 1, Type 2, latent autoimmune diabetes of adults [LADA], monogenic diabetes [MODY]).  </w:t>
            </w:r>
            <w:r w:rsidRPr="00E60DF2">
              <w:rPr>
                <w:rFonts w:ascii="Calibri" w:eastAsia="Times New Roman" w:hAnsi="Calibri" w:cs="Calibri"/>
              </w:rPr>
              <w:br/>
              <w:t>Exclude patients in palliative care/hospice </w:t>
            </w:r>
          </w:p>
        </w:tc>
      </w:tr>
      <w:tr w:rsidR="007D1A16" w:rsidRPr="00E60DF2" w14:paraId="0C15B89F" w14:textId="77777777" w:rsidTr="007D1A16">
        <w:trPr>
          <w:trHeight w:val="360"/>
        </w:trPr>
        <w:tc>
          <w:tcPr>
            <w:tcW w:w="1432" w:type="dxa"/>
            <w:tcBorders>
              <w:top w:val="nil"/>
              <w:left w:val="single" w:sz="6" w:space="0" w:color="auto"/>
              <w:bottom w:val="single" w:sz="6" w:space="0" w:color="auto"/>
              <w:right w:val="single" w:sz="6" w:space="0" w:color="auto"/>
            </w:tcBorders>
            <w:shd w:val="clear" w:color="auto" w:fill="auto"/>
            <w:hideMark/>
          </w:tcPr>
          <w:p w14:paraId="1950691D"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Measure source</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3CDD2D0A"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rPr>
              <w:t>CDC </w:t>
            </w:r>
          </w:p>
        </w:tc>
      </w:tr>
      <w:tr w:rsidR="007D1A16" w:rsidRPr="00E60DF2" w14:paraId="5A34F097" w14:textId="77777777" w:rsidTr="007D1A16">
        <w:trPr>
          <w:trHeight w:val="315"/>
        </w:trPr>
        <w:tc>
          <w:tcPr>
            <w:tcW w:w="1432" w:type="dxa"/>
            <w:tcBorders>
              <w:top w:val="nil"/>
              <w:left w:val="single" w:sz="6" w:space="0" w:color="auto"/>
              <w:bottom w:val="single" w:sz="6" w:space="0" w:color="auto"/>
              <w:right w:val="single" w:sz="6" w:space="0" w:color="auto"/>
            </w:tcBorders>
            <w:shd w:val="clear" w:color="auto" w:fill="auto"/>
            <w:hideMark/>
          </w:tcPr>
          <w:p w14:paraId="38585306"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b/>
                <w:bCs/>
              </w:rPr>
              <w:t>Additional Information</w:t>
            </w:r>
            <w:r w:rsidRPr="00E60DF2">
              <w:rPr>
                <w:rFonts w:ascii="Calibri" w:eastAsia="Times New Roman" w:hAnsi="Calibri" w:cs="Calibri"/>
              </w:rPr>
              <w:t> </w:t>
            </w:r>
          </w:p>
        </w:tc>
        <w:tc>
          <w:tcPr>
            <w:tcW w:w="7912" w:type="dxa"/>
            <w:tcBorders>
              <w:top w:val="nil"/>
              <w:left w:val="nil"/>
              <w:bottom w:val="single" w:sz="6" w:space="0" w:color="auto"/>
              <w:right w:val="single" w:sz="6" w:space="0" w:color="auto"/>
            </w:tcBorders>
            <w:shd w:val="clear" w:color="auto" w:fill="auto"/>
            <w:hideMark/>
          </w:tcPr>
          <w:p w14:paraId="2F75EDEA" w14:textId="77777777" w:rsidR="00E60DF2" w:rsidRPr="00E60DF2" w:rsidRDefault="00E60DF2" w:rsidP="00E60DF2">
            <w:pPr>
              <w:spacing w:after="0" w:line="240" w:lineRule="auto"/>
              <w:textAlignment w:val="baseline"/>
              <w:rPr>
                <w:rFonts w:ascii="Segoe UI" w:eastAsia="Times New Roman" w:hAnsi="Segoe UI" w:cs="Segoe UI"/>
                <w:sz w:val="18"/>
                <w:szCs w:val="18"/>
              </w:rPr>
            </w:pPr>
            <w:r w:rsidRPr="00E60DF2">
              <w:rPr>
                <w:rFonts w:ascii="Calibri" w:eastAsia="Times New Roman" w:hAnsi="Calibri" w:cs="Calibri"/>
              </w:rPr>
              <w:t>CDC: https://www.cdc.gov/diabetes/prevention/lifestyle-program/deliverers/index.html     </w:t>
            </w:r>
            <w:r w:rsidRPr="00E60DF2">
              <w:rPr>
                <w:rFonts w:ascii="Calibri" w:eastAsia="Times New Roman" w:hAnsi="Calibri" w:cs="Calibri"/>
              </w:rPr>
              <w:br/>
              <w:t>AMA: https://www.stepsforward.org/modules/prevent-type-2-diabetes      </w:t>
            </w:r>
          </w:p>
        </w:tc>
      </w:tr>
    </w:tbl>
    <w:p w14:paraId="03C2B13E" w14:textId="5F1636D8" w:rsidR="0003215A" w:rsidRDefault="0003215A" w:rsidP="008F38E6">
      <w:pPr>
        <w:spacing w:after="0" w:line="240" w:lineRule="auto"/>
      </w:pPr>
    </w:p>
    <w:p w14:paraId="7242D375" w14:textId="08B72B4A" w:rsidR="0003215A" w:rsidRDefault="0003215A" w:rsidP="000A7DFC">
      <w:pPr>
        <w:spacing w:after="0" w:line="240" w:lineRule="auto"/>
        <w:jc w:val="center"/>
      </w:pPr>
    </w:p>
    <w:p w14:paraId="76046C0E" w14:textId="22B23B71" w:rsidR="0003215A" w:rsidRDefault="0003215A" w:rsidP="000A7DFC">
      <w:pPr>
        <w:spacing w:after="0" w:line="240" w:lineRule="auto"/>
        <w:jc w:val="center"/>
      </w:pPr>
    </w:p>
    <w:p w14:paraId="2A9F1653" w14:textId="77777777" w:rsidR="0003215A" w:rsidRDefault="0003215A" w:rsidP="000A7DFC">
      <w:pPr>
        <w:spacing w:after="0" w:line="240" w:lineRule="auto"/>
        <w:jc w:val="center"/>
      </w:pPr>
    </w:p>
    <w:tbl>
      <w:tblPr>
        <w:tblStyle w:val="TableGrid"/>
        <w:tblW w:w="9409" w:type="dxa"/>
        <w:tblLook w:val="04A0" w:firstRow="1" w:lastRow="0" w:firstColumn="1" w:lastColumn="0" w:noHBand="0" w:noVBand="1"/>
      </w:tblPr>
      <w:tblGrid>
        <w:gridCol w:w="2078"/>
        <w:gridCol w:w="7331"/>
      </w:tblGrid>
      <w:tr w:rsidR="005A4260" w:rsidRPr="00B4618A" w14:paraId="108FD305" w14:textId="77777777" w:rsidTr="00440CE9">
        <w:trPr>
          <w:trHeight w:val="701"/>
        </w:trPr>
        <w:tc>
          <w:tcPr>
            <w:tcW w:w="2078" w:type="dxa"/>
            <w:shd w:val="clear" w:color="auto" w:fill="D9E2F3" w:themeFill="accent1" w:themeFillTint="33"/>
            <w:hideMark/>
          </w:tcPr>
          <w:p w14:paraId="36461D20" w14:textId="0C894A38" w:rsidR="005A4260" w:rsidRPr="00B4618A" w:rsidRDefault="00E702E3" w:rsidP="004D491F">
            <w:pPr>
              <w:rPr>
                <w:b/>
                <w:bCs/>
              </w:rPr>
            </w:pPr>
            <w:r w:rsidRPr="005B1671">
              <w:rPr>
                <w:b/>
                <w:bCs/>
              </w:rPr>
              <w:lastRenderedPageBreak/>
              <w:t>CMS122v10</w:t>
            </w:r>
          </w:p>
        </w:tc>
        <w:tc>
          <w:tcPr>
            <w:tcW w:w="7331" w:type="dxa"/>
            <w:shd w:val="clear" w:color="auto" w:fill="D9E2F3" w:themeFill="accent1" w:themeFillTint="33"/>
            <w:hideMark/>
          </w:tcPr>
          <w:p w14:paraId="3AD821A7" w14:textId="4A9C8834" w:rsidR="005A4260" w:rsidRPr="00B4618A" w:rsidRDefault="005A4260" w:rsidP="004D491F">
            <w:r w:rsidRPr="00440CE9">
              <w:rPr>
                <w:b/>
                <w:bCs/>
              </w:rPr>
              <w:t>Diabetes Mellitus:  HbA1c in Poor Control (&gt;9 or NONE)</w:t>
            </w:r>
            <w:r w:rsidR="00440CE9">
              <w:rPr>
                <w:b/>
                <w:bCs/>
              </w:rPr>
              <w:t xml:space="preserve">    </w:t>
            </w:r>
          </w:p>
        </w:tc>
      </w:tr>
      <w:tr w:rsidR="005A4260" w:rsidRPr="00B4618A" w14:paraId="6A7442D3" w14:textId="77777777" w:rsidTr="00F20472">
        <w:trPr>
          <w:trHeight w:val="773"/>
        </w:trPr>
        <w:tc>
          <w:tcPr>
            <w:tcW w:w="2078" w:type="dxa"/>
            <w:hideMark/>
          </w:tcPr>
          <w:p w14:paraId="789F2800" w14:textId="77777777" w:rsidR="005A4260" w:rsidRPr="00B4618A" w:rsidRDefault="005A4260" w:rsidP="004D491F">
            <w:pPr>
              <w:rPr>
                <w:b/>
                <w:bCs/>
              </w:rPr>
            </w:pPr>
            <w:r w:rsidRPr="00B4618A">
              <w:rPr>
                <w:b/>
                <w:bCs/>
              </w:rPr>
              <w:t>Measure Description</w:t>
            </w:r>
          </w:p>
        </w:tc>
        <w:tc>
          <w:tcPr>
            <w:tcW w:w="7331" w:type="dxa"/>
            <w:hideMark/>
          </w:tcPr>
          <w:p w14:paraId="0CCE8941" w14:textId="3B0834A6" w:rsidR="005A4260" w:rsidRPr="00B435DC" w:rsidRDefault="005A4260" w:rsidP="004D491F">
            <w:pPr>
              <w:rPr>
                <w:rFonts w:ascii="Calibri" w:hAnsi="Calibri"/>
                <w:color w:val="000000"/>
              </w:rPr>
            </w:pPr>
            <w:r>
              <w:rPr>
                <w:rFonts w:ascii="Calibri" w:hAnsi="Calibri"/>
                <w:color w:val="000000"/>
              </w:rPr>
              <w:t>Percentage of patients 18-75 years of age with diabetes who had hemoglobin A1c &gt; 9.0% or missing during the measurement period</w:t>
            </w:r>
          </w:p>
        </w:tc>
      </w:tr>
      <w:tr w:rsidR="00B3641E" w:rsidRPr="00B4618A" w14:paraId="0E568486" w14:textId="77777777" w:rsidTr="00F20472">
        <w:trPr>
          <w:trHeight w:val="423"/>
        </w:trPr>
        <w:tc>
          <w:tcPr>
            <w:tcW w:w="2078" w:type="dxa"/>
          </w:tcPr>
          <w:p w14:paraId="09348C0C" w14:textId="77777777" w:rsidR="00B3641E" w:rsidRPr="00B4618A" w:rsidRDefault="00B3641E" w:rsidP="004D491F">
            <w:pPr>
              <w:rPr>
                <w:b/>
                <w:bCs/>
              </w:rPr>
            </w:pPr>
            <w:r w:rsidRPr="00B4618A">
              <w:rPr>
                <w:b/>
                <w:bCs/>
              </w:rPr>
              <w:t>Measurement Period</w:t>
            </w:r>
          </w:p>
        </w:tc>
        <w:tc>
          <w:tcPr>
            <w:tcW w:w="7331" w:type="dxa"/>
          </w:tcPr>
          <w:p w14:paraId="3FED5158" w14:textId="77777777" w:rsidR="00B3641E" w:rsidRPr="00B4618A" w:rsidRDefault="00B3641E" w:rsidP="004D491F">
            <w:r w:rsidRPr="00B4618A">
              <w:t>12 months</w:t>
            </w:r>
          </w:p>
        </w:tc>
      </w:tr>
      <w:tr w:rsidR="00B3641E" w:rsidRPr="00B4618A" w14:paraId="26D99AC0" w14:textId="77777777" w:rsidTr="00F20472">
        <w:trPr>
          <w:trHeight w:val="423"/>
        </w:trPr>
        <w:tc>
          <w:tcPr>
            <w:tcW w:w="2078" w:type="dxa"/>
            <w:hideMark/>
          </w:tcPr>
          <w:p w14:paraId="2826BD35" w14:textId="77777777" w:rsidR="00B3641E" w:rsidRPr="00B4618A" w:rsidRDefault="00B3641E" w:rsidP="004D491F">
            <w:pPr>
              <w:rPr>
                <w:b/>
                <w:bCs/>
              </w:rPr>
            </w:pPr>
            <w:r w:rsidRPr="00B4618A">
              <w:rPr>
                <w:b/>
                <w:bCs/>
              </w:rPr>
              <w:t>Numerator</w:t>
            </w:r>
          </w:p>
        </w:tc>
        <w:tc>
          <w:tcPr>
            <w:tcW w:w="7331" w:type="dxa"/>
            <w:hideMark/>
          </w:tcPr>
          <w:p w14:paraId="71355A64" w14:textId="46D30E86" w:rsidR="00B3641E" w:rsidRPr="006D06AA" w:rsidRDefault="006D06AA" w:rsidP="004D491F">
            <w:pPr>
              <w:rPr>
                <w:rFonts w:ascii="Calibri" w:hAnsi="Calibri"/>
                <w:color w:val="000000"/>
              </w:rPr>
            </w:pPr>
            <w:r w:rsidRPr="006D06AA">
              <w:rPr>
                <w:rFonts w:ascii="Calibri" w:hAnsi="Calibri"/>
                <w:color w:val="000000"/>
              </w:rPr>
              <w:t xml:space="preserve">Patients whose most recent HbA1c level (performed during the measurement period) is &gt;9.0% or is </w:t>
            </w:r>
            <w:r w:rsidR="00A62C00" w:rsidRPr="006D06AA">
              <w:rPr>
                <w:rFonts w:ascii="Calibri" w:hAnsi="Calibri"/>
                <w:color w:val="000000"/>
              </w:rPr>
              <w:t>missing or</w:t>
            </w:r>
            <w:r w:rsidRPr="006D06AA">
              <w:rPr>
                <w:rFonts w:ascii="Calibri" w:hAnsi="Calibri"/>
                <w:color w:val="000000"/>
              </w:rPr>
              <w:t xml:space="preserve"> was not performed during the measurement period.</w:t>
            </w:r>
          </w:p>
        </w:tc>
      </w:tr>
      <w:tr w:rsidR="00B3641E" w:rsidRPr="00B4618A" w14:paraId="6A73989D" w14:textId="77777777" w:rsidTr="00F20472">
        <w:trPr>
          <w:trHeight w:val="847"/>
        </w:trPr>
        <w:tc>
          <w:tcPr>
            <w:tcW w:w="2078" w:type="dxa"/>
            <w:hideMark/>
          </w:tcPr>
          <w:p w14:paraId="05128B4D" w14:textId="77777777" w:rsidR="00B3641E" w:rsidRPr="00B4618A" w:rsidRDefault="00B3641E" w:rsidP="004D491F">
            <w:pPr>
              <w:rPr>
                <w:b/>
                <w:bCs/>
              </w:rPr>
            </w:pPr>
            <w:r w:rsidRPr="00B4618A">
              <w:rPr>
                <w:b/>
                <w:bCs/>
              </w:rPr>
              <w:t>Denominator</w:t>
            </w:r>
          </w:p>
        </w:tc>
        <w:tc>
          <w:tcPr>
            <w:tcW w:w="7331" w:type="dxa"/>
            <w:hideMark/>
          </w:tcPr>
          <w:p w14:paraId="3376AA64" w14:textId="77777777" w:rsidR="00B3641E" w:rsidRPr="00B4618A" w:rsidRDefault="00B3641E" w:rsidP="004D491F">
            <w:r w:rsidRPr="00B4618A">
              <w:t>Patients 18-75 years of age with diabetes with a visit during the measurement period</w:t>
            </w:r>
          </w:p>
        </w:tc>
      </w:tr>
      <w:tr w:rsidR="00B3641E" w:rsidRPr="00B4618A" w14:paraId="3C8BADBB" w14:textId="77777777" w:rsidTr="00F20472">
        <w:trPr>
          <w:trHeight w:val="847"/>
        </w:trPr>
        <w:tc>
          <w:tcPr>
            <w:tcW w:w="2078" w:type="dxa"/>
            <w:hideMark/>
          </w:tcPr>
          <w:p w14:paraId="6FB2BA84" w14:textId="77777777" w:rsidR="00B3641E" w:rsidRPr="00B4618A" w:rsidRDefault="00B3641E" w:rsidP="004D491F">
            <w:pPr>
              <w:rPr>
                <w:b/>
                <w:bCs/>
              </w:rPr>
            </w:pPr>
            <w:r w:rsidRPr="00B4618A">
              <w:rPr>
                <w:b/>
                <w:bCs/>
              </w:rPr>
              <w:t>Denominator Exclusions</w:t>
            </w:r>
          </w:p>
        </w:tc>
        <w:tc>
          <w:tcPr>
            <w:tcW w:w="7331" w:type="dxa"/>
            <w:hideMark/>
          </w:tcPr>
          <w:p w14:paraId="32D1142A" w14:textId="44D8A4BD" w:rsidR="008C444D" w:rsidRPr="005B1671"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rPr>
              <w:t>Exclude patients who are in hospice care for any part of the measurement period.</w:t>
            </w:r>
          </w:p>
          <w:p w14:paraId="19FF4D00" w14:textId="77777777" w:rsidR="008C444D" w:rsidRPr="005B1671"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rPr>
              <w:t>Exclude patients 66 and older who are living long term in an institution for more than 90 consecutive days during the measurement period.</w:t>
            </w:r>
          </w:p>
          <w:p w14:paraId="7239C640" w14:textId="77777777" w:rsidR="008C444D" w:rsidRPr="005B1671"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rPr>
              <w:t>Exclude patients 66 and older with an indication of frailty for any part of the measurement period who meet any of the following criteria:</w:t>
            </w:r>
          </w:p>
          <w:p w14:paraId="2D776981" w14:textId="77777777" w:rsidR="008C444D" w:rsidRPr="005B1671"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rPr>
              <w:t>- Advanced illness with two outpatient encounters during the measurement period or the year prior</w:t>
            </w:r>
          </w:p>
          <w:p w14:paraId="59175533" w14:textId="77777777" w:rsidR="008C444D" w:rsidRPr="005B1671"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rPr>
              <w:t>- OR advanced illness with one inpatient encounter during the measurement period or the year prior</w:t>
            </w:r>
          </w:p>
          <w:p w14:paraId="4B1C1190" w14:textId="466DC1EC" w:rsidR="00E525EE"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rPr>
              <w:t>- OR taking dementia medications during the measurement period or the year pr</w:t>
            </w:r>
            <w:r w:rsidR="002E4ECB" w:rsidRPr="005B1671">
              <w:rPr>
                <w:rFonts w:asciiTheme="minorHAnsi" w:hAnsiTheme="minorHAnsi" w:cstheme="minorHAnsi"/>
                <w:sz w:val="22"/>
                <w:szCs w:val="22"/>
              </w:rPr>
              <w:t xml:space="preserve">ior. </w:t>
            </w:r>
          </w:p>
          <w:p w14:paraId="6F2C6F79" w14:textId="11BE42F9" w:rsidR="008C444D" w:rsidRPr="005B1671" w:rsidRDefault="008C444D" w:rsidP="008C444D">
            <w:pPr>
              <w:pStyle w:val="NormalWeb"/>
              <w:spacing w:before="0" w:beforeAutospacing="0" w:after="0" w:afterAutospacing="0"/>
              <w:rPr>
                <w:rFonts w:asciiTheme="minorHAnsi" w:hAnsiTheme="minorHAnsi" w:cstheme="minorHAnsi"/>
                <w:sz w:val="22"/>
                <w:szCs w:val="22"/>
              </w:rPr>
            </w:pPr>
            <w:r w:rsidRPr="005B1671">
              <w:rPr>
                <w:rFonts w:asciiTheme="minorHAnsi" w:hAnsiTheme="minorHAnsi" w:cstheme="minorHAnsi"/>
                <w:sz w:val="22"/>
                <w:szCs w:val="22"/>
                <w:shd w:val="clear" w:color="auto" w:fill="FFFFFF"/>
              </w:rPr>
              <w:t>Exclude patients receiving palliative care during the measurement period.</w:t>
            </w:r>
          </w:p>
          <w:p w14:paraId="36AA40FB" w14:textId="16BD6F05" w:rsidR="00B3641E" w:rsidRPr="00B4618A" w:rsidRDefault="00B3641E" w:rsidP="004D491F"/>
        </w:tc>
      </w:tr>
      <w:tr w:rsidR="00B3641E" w:rsidRPr="00B4618A" w14:paraId="34DFA593" w14:textId="77777777" w:rsidTr="00F20472">
        <w:trPr>
          <w:trHeight w:val="423"/>
        </w:trPr>
        <w:tc>
          <w:tcPr>
            <w:tcW w:w="2078" w:type="dxa"/>
            <w:hideMark/>
          </w:tcPr>
          <w:p w14:paraId="5594C2E3" w14:textId="77777777" w:rsidR="00B3641E" w:rsidRPr="00B4618A" w:rsidRDefault="00B3641E" w:rsidP="004D491F">
            <w:pPr>
              <w:rPr>
                <w:b/>
                <w:bCs/>
              </w:rPr>
            </w:pPr>
            <w:r w:rsidRPr="00B4618A">
              <w:rPr>
                <w:b/>
                <w:bCs/>
              </w:rPr>
              <w:t>Measure source</w:t>
            </w:r>
          </w:p>
        </w:tc>
        <w:tc>
          <w:tcPr>
            <w:tcW w:w="7331" w:type="dxa"/>
            <w:hideMark/>
          </w:tcPr>
          <w:p w14:paraId="58345E85" w14:textId="4178D6C7" w:rsidR="00A34183" w:rsidRPr="00A206E9" w:rsidRDefault="001B464E" w:rsidP="004D491F">
            <w:pPr>
              <w:rPr>
                <w:u w:val="single"/>
              </w:rPr>
            </w:pPr>
            <w:hyperlink r:id="rId14" w:history="1">
              <w:r w:rsidR="001F1A7F" w:rsidRPr="00A206E9">
                <w:rPr>
                  <w:rStyle w:val="Hyperlink"/>
                  <w:color w:val="auto"/>
                </w:rPr>
                <w:t>https://ecqi.healthit.gov/ecqm/ec/2022/cms122v10</w:t>
              </w:r>
            </w:hyperlink>
          </w:p>
          <w:p w14:paraId="47056424" w14:textId="7865106F" w:rsidR="008230A8" w:rsidRPr="00A206E9" w:rsidRDefault="008230A8" w:rsidP="004D491F">
            <w:pPr>
              <w:rPr>
                <w:u w:val="single"/>
              </w:rPr>
            </w:pPr>
          </w:p>
        </w:tc>
      </w:tr>
      <w:tr w:rsidR="00B3641E" w:rsidRPr="00B4618A" w14:paraId="5A3DB4AE" w14:textId="77777777" w:rsidTr="00F20472">
        <w:trPr>
          <w:trHeight w:val="423"/>
        </w:trPr>
        <w:tc>
          <w:tcPr>
            <w:tcW w:w="2078" w:type="dxa"/>
            <w:hideMark/>
          </w:tcPr>
          <w:p w14:paraId="02DFD2D8" w14:textId="77777777" w:rsidR="00B3641E" w:rsidRPr="00B4618A" w:rsidRDefault="00B3641E" w:rsidP="004D491F">
            <w:pPr>
              <w:rPr>
                <w:b/>
                <w:bCs/>
                <w:u w:val="single"/>
              </w:rPr>
            </w:pPr>
          </w:p>
        </w:tc>
        <w:tc>
          <w:tcPr>
            <w:tcW w:w="7331" w:type="dxa"/>
            <w:hideMark/>
          </w:tcPr>
          <w:p w14:paraId="5FA86529" w14:textId="77366AE6" w:rsidR="00B3641E" w:rsidRPr="00A206E9" w:rsidRDefault="00B3641E" w:rsidP="004D491F">
            <w:pPr>
              <w:rPr>
                <w:strike/>
              </w:rPr>
            </w:pPr>
          </w:p>
        </w:tc>
      </w:tr>
      <w:tr w:rsidR="00B3641E" w:rsidRPr="00B4618A" w14:paraId="0ABE3417" w14:textId="77777777" w:rsidTr="00F20472">
        <w:trPr>
          <w:trHeight w:val="504"/>
        </w:trPr>
        <w:tc>
          <w:tcPr>
            <w:tcW w:w="2078" w:type="dxa"/>
            <w:hideMark/>
          </w:tcPr>
          <w:p w14:paraId="0C495F71" w14:textId="77777777" w:rsidR="00B3641E" w:rsidRPr="00B4618A" w:rsidRDefault="00B3641E" w:rsidP="004D491F">
            <w:pPr>
              <w:rPr>
                <w:b/>
                <w:bCs/>
              </w:rPr>
            </w:pPr>
            <w:r w:rsidRPr="00B4618A">
              <w:rPr>
                <w:b/>
                <w:bCs/>
              </w:rPr>
              <w:t>Additional Information</w:t>
            </w:r>
          </w:p>
        </w:tc>
        <w:tc>
          <w:tcPr>
            <w:tcW w:w="7331" w:type="dxa"/>
            <w:hideMark/>
          </w:tcPr>
          <w:p w14:paraId="05EB72FA" w14:textId="77777777" w:rsidR="00B3641E" w:rsidRPr="00A206E9" w:rsidRDefault="001B464E" w:rsidP="004D491F">
            <w:pPr>
              <w:rPr>
                <w:rStyle w:val="Hyperlink"/>
                <w:color w:val="auto"/>
              </w:rPr>
            </w:pPr>
            <w:hyperlink r:id="rId15" w:history="1">
              <w:r w:rsidR="00B3641E" w:rsidRPr="00A206E9">
                <w:rPr>
                  <w:rStyle w:val="Hyperlink"/>
                  <w:color w:val="auto"/>
                </w:rPr>
                <w:t xml:space="preserve">http://clinical.diabetesjournals.org/content/36/1/14 </w:t>
              </w:r>
            </w:hyperlink>
          </w:p>
          <w:p w14:paraId="75DF1890" w14:textId="17736C19" w:rsidR="00F67BE2" w:rsidRPr="00A206E9" w:rsidRDefault="001B464E" w:rsidP="004D491F">
            <w:pPr>
              <w:rPr>
                <w:u w:val="single"/>
              </w:rPr>
            </w:pPr>
            <w:hyperlink r:id="rId16" w:history="1">
              <w:r w:rsidR="00F67BE2" w:rsidRPr="00A206E9">
                <w:rPr>
                  <w:u w:val="single"/>
                </w:rPr>
                <w:t>CMS122v10-eCQMFlow.pdf</w:t>
              </w:r>
            </w:hyperlink>
          </w:p>
        </w:tc>
      </w:tr>
      <w:tr w:rsidR="00B45597" w:rsidRPr="00B4618A" w14:paraId="69D96A94" w14:textId="77777777" w:rsidTr="00F20472">
        <w:trPr>
          <w:trHeight w:val="882"/>
        </w:trPr>
        <w:tc>
          <w:tcPr>
            <w:tcW w:w="2078" w:type="dxa"/>
          </w:tcPr>
          <w:p w14:paraId="3DE11FDC" w14:textId="77777777" w:rsidR="00B45597" w:rsidRPr="00B4618A" w:rsidRDefault="00B45597" w:rsidP="004D491F">
            <w:pPr>
              <w:rPr>
                <w:b/>
                <w:bCs/>
              </w:rPr>
            </w:pPr>
            <w:r>
              <w:rPr>
                <w:b/>
                <w:bCs/>
              </w:rPr>
              <w:t>Goal</w:t>
            </w:r>
          </w:p>
        </w:tc>
        <w:tc>
          <w:tcPr>
            <w:tcW w:w="7331" w:type="dxa"/>
          </w:tcPr>
          <w:p w14:paraId="00901C08" w14:textId="77777777" w:rsidR="00C20B85" w:rsidRPr="00C20B85" w:rsidRDefault="00C20B85" w:rsidP="004D491F">
            <w:pPr>
              <w:rPr>
                <w:rFonts w:cs="Times New Roman"/>
                <w:color w:val="000000" w:themeColor="text1"/>
              </w:rPr>
            </w:pPr>
            <w:r w:rsidRPr="00C20B85">
              <w:rPr>
                <w:rFonts w:cs="Times New Roman"/>
                <w:color w:val="000000" w:themeColor="text1"/>
              </w:rPr>
              <w:t>Demonstrate that the percentage of patients with HgbA1c in Poor Control (</w:t>
            </w:r>
            <w:r w:rsidRPr="00C20B85">
              <w:rPr>
                <w:rFonts w:cs="Times New Roman"/>
              </w:rPr>
              <w:t xml:space="preserve">HgbA1c is &gt;9% or missing) </w:t>
            </w:r>
            <w:r w:rsidRPr="00C20B85">
              <w:rPr>
                <w:rFonts w:cs="Times New Roman"/>
                <w:color w:val="000000" w:themeColor="text1"/>
              </w:rPr>
              <w:t xml:space="preserve">is at or below the goal of 25% </w:t>
            </w:r>
          </w:p>
          <w:p w14:paraId="339021F8" w14:textId="77777777" w:rsidR="00C20B85" w:rsidRPr="00C20B85" w:rsidRDefault="00C20B85" w:rsidP="004D491F">
            <w:pPr>
              <w:pStyle w:val="ListParagraph"/>
              <w:rPr>
                <w:rFonts w:cs="Times New Roman"/>
                <w:color w:val="000000" w:themeColor="text1"/>
              </w:rPr>
            </w:pPr>
          </w:p>
          <w:p w14:paraId="3B73F060" w14:textId="77777777" w:rsidR="00B45597" w:rsidRDefault="00B45597" w:rsidP="004D491F"/>
        </w:tc>
      </w:tr>
      <w:tr w:rsidR="00787594" w:rsidRPr="00B4618A" w14:paraId="32B645F7" w14:textId="77777777" w:rsidTr="00F20472">
        <w:trPr>
          <w:trHeight w:val="882"/>
        </w:trPr>
        <w:tc>
          <w:tcPr>
            <w:tcW w:w="2078" w:type="dxa"/>
          </w:tcPr>
          <w:p w14:paraId="308B51DD" w14:textId="24C36AA9" w:rsidR="00787594" w:rsidRPr="005B1671" w:rsidRDefault="00787594" w:rsidP="004D491F">
            <w:pPr>
              <w:rPr>
                <w:b/>
                <w:bCs/>
              </w:rPr>
            </w:pPr>
            <w:r w:rsidRPr="005B1671">
              <w:rPr>
                <w:b/>
                <w:bCs/>
              </w:rPr>
              <w:t>Changes from previous version</w:t>
            </w:r>
          </w:p>
        </w:tc>
        <w:tc>
          <w:tcPr>
            <w:tcW w:w="7331" w:type="dxa"/>
          </w:tcPr>
          <w:p w14:paraId="6BD05769" w14:textId="3F53A329" w:rsidR="00787594" w:rsidRPr="005B1671" w:rsidRDefault="00787594" w:rsidP="004D491F">
            <w:pPr>
              <w:rPr>
                <w:rFonts w:cs="Times New Roman"/>
              </w:rPr>
            </w:pPr>
            <w:r w:rsidRPr="005B1671">
              <w:rPr>
                <w:rFonts w:cs="Times New Roman"/>
              </w:rPr>
              <w:t>N</w:t>
            </w:r>
            <w:r w:rsidR="00440CE9" w:rsidRPr="005B1671">
              <w:rPr>
                <w:rFonts w:cs="Times New Roman"/>
              </w:rPr>
              <w:t>/A</w:t>
            </w:r>
          </w:p>
        </w:tc>
      </w:tr>
    </w:tbl>
    <w:p w14:paraId="54DA8DE0" w14:textId="77777777" w:rsidR="00F275C6" w:rsidRDefault="00F275C6" w:rsidP="004D491F">
      <w:pPr>
        <w:spacing w:after="0" w:line="240" w:lineRule="auto"/>
      </w:pPr>
    </w:p>
    <w:p w14:paraId="5F81A99B" w14:textId="77777777" w:rsidR="00F275C6" w:rsidRDefault="000B415E" w:rsidP="004D491F">
      <w:pPr>
        <w:spacing w:after="0" w:line="240" w:lineRule="auto"/>
      </w:pPr>
      <w:r w:rsidRPr="000C7EC1">
        <w:rPr>
          <w:i/>
        </w:rPr>
        <w:lastRenderedPageBreak/>
        <w:t xml:space="preserve">Screenshot </w:t>
      </w:r>
      <w:r>
        <w:rPr>
          <w:i/>
        </w:rPr>
        <w:t>of</w:t>
      </w:r>
      <w:r w:rsidRPr="000C7EC1">
        <w:rPr>
          <w:i/>
        </w:rPr>
        <w:t xml:space="preserve"> Form </w:t>
      </w:r>
      <w:r>
        <w:rPr>
          <w:i/>
        </w:rPr>
        <w:t>used to submit Measure Data</w:t>
      </w:r>
      <w:r>
        <w:rPr>
          <w:noProof/>
        </w:rPr>
        <w:t xml:space="preserve"> </w:t>
      </w:r>
      <w:r w:rsidR="000C7EC1">
        <w:rPr>
          <w:noProof/>
        </w:rPr>
        <w:drawing>
          <wp:inline distT="0" distB="0" distL="0" distR="0" wp14:anchorId="0326DB80" wp14:editId="7EF5FB8D">
            <wp:extent cx="594360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457450"/>
                    </a:xfrm>
                    <a:prstGeom prst="rect">
                      <a:avLst/>
                    </a:prstGeom>
                  </pic:spPr>
                </pic:pic>
              </a:graphicData>
            </a:graphic>
          </wp:inline>
        </w:drawing>
      </w:r>
    </w:p>
    <w:p w14:paraId="0C549A58" w14:textId="77777777" w:rsidR="00F275C6" w:rsidRDefault="00F275C6" w:rsidP="004D491F">
      <w:pPr>
        <w:spacing w:after="0" w:line="240" w:lineRule="auto"/>
      </w:pPr>
    </w:p>
    <w:p w14:paraId="24B1DF30" w14:textId="77777777" w:rsidR="00422776" w:rsidRDefault="00422776" w:rsidP="004D491F">
      <w:pPr>
        <w:spacing w:after="0" w:line="240" w:lineRule="auto"/>
        <w:jc w:val="center"/>
        <w:rPr>
          <w:b/>
          <w:bCs/>
        </w:rPr>
      </w:pPr>
    </w:p>
    <w:p w14:paraId="56CBF746" w14:textId="7945C5E9" w:rsidR="00F275C6" w:rsidRDefault="00F275C6" w:rsidP="003F03A6">
      <w:pPr>
        <w:spacing w:after="0" w:line="240" w:lineRule="auto"/>
        <w:rPr>
          <w:b/>
          <w:bCs/>
        </w:rPr>
      </w:pPr>
    </w:p>
    <w:p w14:paraId="369C19D0" w14:textId="77777777" w:rsidR="00B71ED6" w:rsidRDefault="00B71ED6" w:rsidP="00B71ED6">
      <w:pPr>
        <w:spacing w:after="0" w:line="240" w:lineRule="auto"/>
        <w:rPr>
          <w:b/>
          <w:bCs/>
        </w:rPr>
      </w:pPr>
    </w:p>
    <w:p w14:paraId="1D97199E" w14:textId="77777777" w:rsidR="00B71ED6" w:rsidRDefault="00B71ED6" w:rsidP="004D491F">
      <w:pPr>
        <w:spacing w:after="0" w:line="240" w:lineRule="auto"/>
        <w:jc w:val="center"/>
        <w:rPr>
          <w:b/>
          <w:bCs/>
        </w:rPr>
      </w:pPr>
    </w:p>
    <w:p w14:paraId="48BE847C" w14:textId="77777777" w:rsidR="00B71ED6" w:rsidRDefault="00B71ED6" w:rsidP="004D491F">
      <w:pPr>
        <w:spacing w:after="0" w:line="240" w:lineRule="auto"/>
        <w:jc w:val="center"/>
        <w:rPr>
          <w:b/>
          <w:bCs/>
        </w:rPr>
      </w:pPr>
    </w:p>
    <w:p w14:paraId="4FED6AD4" w14:textId="77777777" w:rsidR="00B71ED6" w:rsidRDefault="00B71ED6" w:rsidP="004D491F">
      <w:pPr>
        <w:spacing w:after="0" w:line="240" w:lineRule="auto"/>
        <w:jc w:val="center"/>
        <w:rPr>
          <w:b/>
          <w:bCs/>
        </w:rPr>
      </w:pPr>
    </w:p>
    <w:p w14:paraId="6228226D" w14:textId="26290890" w:rsidR="001B663F" w:rsidRDefault="001B663F" w:rsidP="001B663F">
      <w:pPr>
        <w:spacing w:after="0" w:line="240" w:lineRule="auto"/>
        <w:rPr>
          <w:b/>
          <w:bCs/>
        </w:rPr>
      </w:pPr>
    </w:p>
    <w:p w14:paraId="38BDA084" w14:textId="77777777" w:rsidR="00B435DC" w:rsidRDefault="00B435DC" w:rsidP="004D491F">
      <w:pPr>
        <w:spacing w:after="0" w:line="240" w:lineRule="auto"/>
        <w:rPr>
          <w:b/>
          <w:bCs/>
        </w:rPr>
      </w:pPr>
    </w:p>
    <w:p w14:paraId="5DC3B787" w14:textId="0F3A3F27" w:rsidR="004D491F" w:rsidRDefault="004D491F" w:rsidP="004D491F">
      <w:pPr>
        <w:spacing w:after="0" w:line="240" w:lineRule="auto"/>
        <w:rPr>
          <w:b/>
          <w:bCs/>
        </w:rPr>
      </w:pPr>
    </w:p>
    <w:p w14:paraId="48956F8B" w14:textId="27E50010" w:rsidR="00780A09" w:rsidRDefault="00780A09" w:rsidP="004D491F">
      <w:pPr>
        <w:spacing w:after="0" w:line="240" w:lineRule="auto"/>
        <w:rPr>
          <w:b/>
          <w:bCs/>
        </w:rPr>
      </w:pPr>
    </w:p>
    <w:p w14:paraId="1740341E" w14:textId="151C0F42" w:rsidR="00780A09" w:rsidRDefault="00780A09" w:rsidP="004D491F">
      <w:pPr>
        <w:spacing w:after="0" w:line="240" w:lineRule="auto"/>
        <w:rPr>
          <w:b/>
          <w:bCs/>
        </w:rPr>
      </w:pPr>
    </w:p>
    <w:p w14:paraId="70821ED5" w14:textId="4AE5B2A3" w:rsidR="00780A09" w:rsidRDefault="00780A09" w:rsidP="004D491F">
      <w:pPr>
        <w:spacing w:after="0" w:line="240" w:lineRule="auto"/>
        <w:rPr>
          <w:b/>
          <w:bCs/>
        </w:rPr>
      </w:pPr>
    </w:p>
    <w:p w14:paraId="6902E85C" w14:textId="2F9906C3" w:rsidR="00780A09" w:rsidRDefault="00780A09" w:rsidP="004D491F">
      <w:pPr>
        <w:spacing w:after="0" w:line="240" w:lineRule="auto"/>
        <w:rPr>
          <w:b/>
          <w:bCs/>
        </w:rPr>
      </w:pPr>
    </w:p>
    <w:p w14:paraId="1CA52B8D" w14:textId="0784895B" w:rsidR="00780A09" w:rsidRDefault="00780A09" w:rsidP="004D491F">
      <w:pPr>
        <w:spacing w:after="0" w:line="240" w:lineRule="auto"/>
        <w:rPr>
          <w:b/>
          <w:bCs/>
        </w:rPr>
      </w:pPr>
    </w:p>
    <w:p w14:paraId="02962654" w14:textId="554915D1" w:rsidR="00780A09" w:rsidRDefault="00780A09" w:rsidP="004D491F">
      <w:pPr>
        <w:spacing w:after="0" w:line="240" w:lineRule="auto"/>
        <w:rPr>
          <w:b/>
          <w:bCs/>
        </w:rPr>
      </w:pPr>
    </w:p>
    <w:p w14:paraId="6FD6E0B2" w14:textId="2177017B" w:rsidR="00780A09" w:rsidRDefault="00780A09" w:rsidP="004D491F">
      <w:pPr>
        <w:spacing w:after="0" w:line="240" w:lineRule="auto"/>
        <w:rPr>
          <w:b/>
          <w:bCs/>
        </w:rPr>
      </w:pPr>
    </w:p>
    <w:p w14:paraId="6D80860D" w14:textId="76A38DAA" w:rsidR="00780A09" w:rsidRDefault="00780A09" w:rsidP="004D491F">
      <w:pPr>
        <w:spacing w:after="0" w:line="240" w:lineRule="auto"/>
        <w:rPr>
          <w:b/>
          <w:bCs/>
        </w:rPr>
      </w:pPr>
    </w:p>
    <w:p w14:paraId="7B7EB727" w14:textId="474551DF" w:rsidR="00780A09" w:rsidRDefault="00780A09" w:rsidP="004D491F">
      <w:pPr>
        <w:spacing w:after="0" w:line="240" w:lineRule="auto"/>
        <w:rPr>
          <w:b/>
          <w:bCs/>
        </w:rPr>
      </w:pPr>
    </w:p>
    <w:p w14:paraId="4962B7D8" w14:textId="6B33BF85" w:rsidR="00780A09" w:rsidRDefault="00780A09" w:rsidP="004D491F">
      <w:pPr>
        <w:spacing w:after="0" w:line="240" w:lineRule="auto"/>
        <w:rPr>
          <w:b/>
          <w:bCs/>
        </w:rPr>
      </w:pPr>
    </w:p>
    <w:p w14:paraId="3B473A4B" w14:textId="36941528" w:rsidR="00780A09" w:rsidRDefault="00780A09" w:rsidP="004D491F">
      <w:pPr>
        <w:spacing w:after="0" w:line="240" w:lineRule="auto"/>
        <w:rPr>
          <w:b/>
          <w:bCs/>
        </w:rPr>
      </w:pPr>
    </w:p>
    <w:p w14:paraId="69FC6510" w14:textId="12BE063C" w:rsidR="00780A09" w:rsidRDefault="00780A09" w:rsidP="004D491F">
      <w:pPr>
        <w:spacing w:after="0" w:line="240" w:lineRule="auto"/>
        <w:rPr>
          <w:b/>
          <w:bCs/>
        </w:rPr>
      </w:pPr>
    </w:p>
    <w:p w14:paraId="1F01E319" w14:textId="77777777" w:rsidR="00780A09" w:rsidRDefault="00780A09" w:rsidP="004D491F">
      <w:pPr>
        <w:spacing w:after="0" w:line="240" w:lineRule="auto"/>
        <w:rPr>
          <w:b/>
          <w:bCs/>
        </w:rPr>
      </w:pPr>
    </w:p>
    <w:p w14:paraId="38648C23" w14:textId="77777777" w:rsidR="00C5101B" w:rsidRDefault="00C5101B" w:rsidP="004D491F">
      <w:pPr>
        <w:spacing w:after="0" w:line="240" w:lineRule="auto"/>
        <w:rPr>
          <w:b/>
          <w:bCs/>
        </w:rPr>
      </w:pPr>
    </w:p>
    <w:p w14:paraId="0460E93E" w14:textId="77777777" w:rsidR="00C5101B" w:rsidRDefault="00C5101B" w:rsidP="004D491F">
      <w:pPr>
        <w:spacing w:after="0" w:line="240" w:lineRule="auto"/>
        <w:rPr>
          <w:b/>
          <w:bCs/>
        </w:rPr>
      </w:pPr>
    </w:p>
    <w:p w14:paraId="14E0B0CA" w14:textId="77777777" w:rsidR="00C5101B" w:rsidRDefault="00C5101B" w:rsidP="004D491F">
      <w:pPr>
        <w:spacing w:after="0" w:line="240" w:lineRule="auto"/>
        <w:rPr>
          <w:b/>
          <w:bCs/>
        </w:rPr>
      </w:pPr>
    </w:p>
    <w:p w14:paraId="0AEAF0E1" w14:textId="77777777" w:rsidR="00C5101B" w:rsidRDefault="00C5101B" w:rsidP="004D491F">
      <w:pPr>
        <w:spacing w:after="0" w:line="240" w:lineRule="auto"/>
        <w:rPr>
          <w:b/>
          <w:bCs/>
        </w:rPr>
      </w:pPr>
    </w:p>
    <w:p w14:paraId="7227A3C1" w14:textId="77777777" w:rsidR="00C5101B" w:rsidRDefault="00C5101B" w:rsidP="004D491F">
      <w:pPr>
        <w:spacing w:after="0" w:line="240" w:lineRule="auto"/>
        <w:rPr>
          <w:b/>
          <w:bCs/>
        </w:rPr>
      </w:pPr>
    </w:p>
    <w:p w14:paraId="75C20FE8" w14:textId="668E27A9" w:rsidR="00DA1F65" w:rsidRDefault="00EB7AF3" w:rsidP="004D491F">
      <w:pPr>
        <w:spacing w:after="0" w:line="240" w:lineRule="auto"/>
        <w:rPr>
          <w:b/>
          <w:bCs/>
        </w:rPr>
      </w:pPr>
      <w:r>
        <w:rPr>
          <w:b/>
          <w:bCs/>
        </w:rPr>
        <w:lastRenderedPageBreak/>
        <w:t>CCE Measure</w:t>
      </w:r>
      <w:r w:rsidRPr="00B4618A">
        <w:rPr>
          <w:b/>
          <w:bCs/>
        </w:rPr>
        <w:t xml:space="preserve"> Specifications</w:t>
      </w:r>
      <w:r>
        <w:rPr>
          <w:b/>
          <w:bCs/>
        </w:rPr>
        <w:t xml:space="preserve"> for</w:t>
      </w:r>
      <w:r w:rsidRPr="00CB35E1">
        <w:rPr>
          <w:b/>
          <w:bCs/>
        </w:rPr>
        <w:t xml:space="preserve"> </w:t>
      </w:r>
      <w:r>
        <w:rPr>
          <w:b/>
          <w:bCs/>
        </w:rPr>
        <w:t>Cardiovascular Disease SOW,</w:t>
      </w:r>
      <w:r w:rsidRPr="00B4618A">
        <w:rPr>
          <w:b/>
          <w:bCs/>
        </w:rPr>
        <w:t xml:space="preserve"> </w:t>
      </w:r>
      <w:r w:rsidRPr="005B1671">
        <w:rPr>
          <w:b/>
          <w:bCs/>
        </w:rPr>
        <w:t xml:space="preserve">effective </w:t>
      </w:r>
      <w:r w:rsidR="00F67BE2" w:rsidRPr="005B1671">
        <w:rPr>
          <w:b/>
          <w:bCs/>
        </w:rPr>
        <w:t xml:space="preserve">June </w:t>
      </w:r>
      <w:r w:rsidR="00825EC4" w:rsidRPr="005B1671">
        <w:rPr>
          <w:b/>
          <w:bCs/>
        </w:rPr>
        <w:t>30</w:t>
      </w:r>
      <w:r w:rsidR="00334529" w:rsidRPr="005B1671">
        <w:rPr>
          <w:b/>
          <w:bCs/>
        </w:rPr>
        <w:t>, 202</w:t>
      </w:r>
      <w:r w:rsidR="00F67BE2" w:rsidRPr="005B1671">
        <w:rPr>
          <w:b/>
          <w:bCs/>
        </w:rPr>
        <w:t>2</w:t>
      </w:r>
    </w:p>
    <w:tbl>
      <w:tblPr>
        <w:tblStyle w:val="TableGrid"/>
        <w:tblW w:w="10075" w:type="dxa"/>
        <w:tblLook w:val="04A0" w:firstRow="1" w:lastRow="0" w:firstColumn="1" w:lastColumn="0" w:noHBand="0" w:noVBand="1"/>
      </w:tblPr>
      <w:tblGrid>
        <w:gridCol w:w="2097"/>
        <w:gridCol w:w="7978"/>
      </w:tblGrid>
      <w:tr w:rsidR="007C1B55" w:rsidRPr="00B4618A" w14:paraId="601FEF89" w14:textId="77777777" w:rsidTr="005B1671">
        <w:trPr>
          <w:trHeight w:val="515"/>
        </w:trPr>
        <w:tc>
          <w:tcPr>
            <w:tcW w:w="2097" w:type="dxa"/>
            <w:shd w:val="clear" w:color="auto" w:fill="D9E2F3" w:themeFill="accent1" w:themeFillTint="33"/>
            <w:hideMark/>
          </w:tcPr>
          <w:p w14:paraId="30E92D98" w14:textId="1B5349D8" w:rsidR="007C1B55" w:rsidRPr="00B4618A" w:rsidRDefault="00E702E3" w:rsidP="004D491F">
            <w:pPr>
              <w:rPr>
                <w:b/>
                <w:bCs/>
              </w:rPr>
            </w:pPr>
            <w:r w:rsidRPr="005B1671">
              <w:rPr>
                <w:b/>
                <w:bCs/>
              </w:rPr>
              <w:t>CMS165v10</w:t>
            </w:r>
          </w:p>
        </w:tc>
        <w:tc>
          <w:tcPr>
            <w:tcW w:w="7978" w:type="dxa"/>
            <w:shd w:val="clear" w:color="auto" w:fill="D9E2F3" w:themeFill="accent1" w:themeFillTint="33"/>
            <w:hideMark/>
          </w:tcPr>
          <w:p w14:paraId="7C86F2DC" w14:textId="77777777" w:rsidR="007C1B55" w:rsidRPr="00B4618A" w:rsidRDefault="007C1B55" w:rsidP="004D491F">
            <w:r w:rsidRPr="008E24EA">
              <w:rPr>
                <w:b/>
                <w:bCs/>
              </w:rPr>
              <w:t>Hypertension: Blood Pressure in Control</w:t>
            </w:r>
          </w:p>
        </w:tc>
      </w:tr>
      <w:tr w:rsidR="007C1B55" w:rsidRPr="00061A18" w14:paraId="2ABE8E4E" w14:textId="77777777" w:rsidTr="005B1671">
        <w:trPr>
          <w:trHeight w:val="867"/>
        </w:trPr>
        <w:tc>
          <w:tcPr>
            <w:tcW w:w="2097" w:type="dxa"/>
            <w:hideMark/>
          </w:tcPr>
          <w:p w14:paraId="4435404C" w14:textId="77777777" w:rsidR="007C1B55" w:rsidRPr="00B4618A" w:rsidRDefault="007C1B55" w:rsidP="004D491F">
            <w:pPr>
              <w:rPr>
                <w:b/>
                <w:bCs/>
              </w:rPr>
            </w:pPr>
            <w:r w:rsidRPr="00B4618A">
              <w:rPr>
                <w:b/>
                <w:bCs/>
              </w:rPr>
              <w:t>Measure Description</w:t>
            </w:r>
          </w:p>
        </w:tc>
        <w:tc>
          <w:tcPr>
            <w:tcW w:w="7978" w:type="dxa"/>
            <w:hideMark/>
          </w:tcPr>
          <w:p w14:paraId="49F0822B" w14:textId="1F6AE54F" w:rsidR="007C1B55" w:rsidRPr="005B1671" w:rsidRDefault="007C1B55" w:rsidP="004D491F">
            <w:pPr>
              <w:rPr>
                <w:rFonts w:cstheme="minorHAnsi"/>
              </w:rPr>
            </w:pPr>
            <w:r w:rsidRPr="005B1671">
              <w:rPr>
                <w:rFonts w:cstheme="minorHAnsi"/>
              </w:rPr>
              <w:t xml:space="preserve">Patients </w:t>
            </w:r>
            <w:r w:rsidR="004D551A" w:rsidRPr="005B1671">
              <w:rPr>
                <w:rFonts w:cstheme="minorHAnsi"/>
              </w:rPr>
              <w:t xml:space="preserve">18-85 years of age </w:t>
            </w:r>
            <w:r w:rsidR="00F44D87" w:rsidRPr="005B1671">
              <w:rPr>
                <w:rFonts w:cstheme="minorHAnsi"/>
                <w:shd w:val="clear" w:color="auto" w:fill="FFFFFF" w:themeFill="background1"/>
              </w:rPr>
              <w:t>who had a diagnosis of essential hypertension starting before and continuing into, or starting during the first six months of the measurement period</w:t>
            </w:r>
            <w:r w:rsidR="00F44D87" w:rsidRPr="005B1671">
              <w:rPr>
                <w:rFonts w:cstheme="minorHAnsi"/>
                <w:shd w:val="clear" w:color="auto" w:fill="EEEEEE"/>
              </w:rPr>
              <w:t>,</w:t>
            </w:r>
            <w:r w:rsidR="004D551A" w:rsidRPr="005B1671">
              <w:rPr>
                <w:rFonts w:cstheme="minorHAnsi"/>
              </w:rPr>
              <w:t xml:space="preserve"> and whose most recent blood pressure was adequately controlled (&lt;140/90mmHg) during the measurement period </w:t>
            </w:r>
          </w:p>
        </w:tc>
      </w:tr>
      <w:tr w:rsidR="007C1B55" w:rsidRPr="00B4618A" w14:paraId="1198FEE9" w14:textId="77777777" w:rsidTr="005B1671">
        <w:trPr>
          <w:trHeight w:val="515"/>
        </w:trPr>
        <w:tc>
          <w:tcPr>
            <w:tcW w:w="2097" w:type="dxa"/>
            <w:hideMark/>
          </w:tcPr>
          <w:p w14:paraId="6B660247" w14:textId="77777777" w:rsidR="007C1B55" w:rsidRPr="00B4618A" w:rsidRDefault="007C1B55" w:rsidP="004D491F">
            <w:pPr>
              <w:rPr>
                <w:b/>
                <w:bCs/>
              </w:rPr>
            </w:pPr>
            <w:bookmarkStart w:id="2" w:name="_Hlk534012137"/>
            <w:r w:rsidRPr="00B4618A">
              <w:rPr>
                <w:b/>
                <w:bCs/>
              </w:rPr>
              <w:t>Measurement Period</w:t>
            </w:r>
          </w:p>
        </w:tc>
        <w:tc>
          <w:tcPr>
            <w:tcW w:w="7978" w:type="dxa"/>
            <w:hideMark/>
          </w:tcPr>
          <w:p w14:paraId="4372439F" w14:textId="77777777" w:rsidR="007C1B55" w:rsidRPr="005B1671" w:rsidRDefault="007C1B55" w:rsidP="004D491F">
            <w:r w:rsidRPr="005B1671">
              <w:t xml:space="preserve">12 </w:t>
            </w:r>
            <w:r w:rsidR="00A853EB" w:rsidRPr="005B1671">
              <w:t>months</w:t>
            </w:r>
          </w:p>
        </w:tc>
      </w:tr>
      <w:bookmarkEnd w:id="2"/>
      <w:tr w:rsidR="007C1B55" w:rsidRPr="00B4618A" w14:paraId="4208D333" w14:textId="77777777" w:rsidTr="005B1671">
        <w:trPr>
          <w:trHeight w:val="867"/>
        </w:trPr>
        <w:tc>
          <w:tcPr>
            <w:tcW w:w="2097" w:type="dxa"/>
            <w:hideMark/>
          </w:tcPr>
          <w:p w14:paraId="3577E372" w14:textId="77777777" w:rsidR="007C1B55" w:rsidRPr="00B4618A" w:rsidRDefault="007C1B55" w:rsidP="004D491F">
            <w:pPr>
              <w:rPr>
                <w:b/>
                <w:bCs/>
              </w:rPr>
            </w:pPr>
            <w:r w:rsidRPr="00B4618A">
              <w:rPr>
                <w:b/>
                <w:bCs/>
              </w:rPr>
              <w:t>Numerator</w:t>
            </w:r>
          </w:p>
        </w:tc>
        <w:tc>
          <w:tcPr>
            <w:tcW w:w="7978" w:type="dxa"/>
            <w:hideMark/>
          </w:tcPr>
          <w:p w14:paraId="535D6C19" w14:textId="77777777" w:rsidR="007C1B55" w:rsidRPr="005B1671" w:rsidRDefault="007C1B55" w:rsidP="004D491F">
            <w:r w:rsidRPr="005B1671">
              <w:t>Patients whose blood pressure at the most recent visit is adequately controlled (systolic blood pressure &lt; 140 mmHg and diastolic blood pressure &lt; 90 mmHg) during the measurement period</w:t>
            </w:r>
          </w:p>
        </w:tc>
      </w:tr>
      <w:tr w:rsidR="007C1B55" w:rsidRPr="00B4618A" w14:paraId="3241BDE2" w14:textId="77777777" w:rsidTr="005B1671">
        <w:trPr>
          <w:trHeight w:val="867"/>
        </w:trPr>
        <w:tc>
          <w:tcPr>
            <w:tcW w:w="2097" w:type="dxa"/>
            <w:hideMark/>
          </w:tcPr>
          <w:p w14:paraId="679B1661" w14:textId="77777777" w:rsidR="007C1B55" w:rsidRPr="00B4618A" w:rsidRDefault="007C1B55" w:rsidP="004D491F">
            <w:pPr>
              <w:rPr>
                <w:b/>
                <w:bCs/>
              </w:rPr>
            </w:pPr>
            <w:r w:rsidRPr="00B4618A">
              <w:rPr>
                <w:b/>
                <w:bCs/>
              </w:rPr>
              <w:t>Denominator</w:t>
            </w:r>
          </w:p>
        </w:tc>
        <w:tc>
          <w:tcPr>
            <w:tcW w:w="7978" w:type="dxa"/>
            <w:hideMark/>
          </w:tcPr>
          <w:p w14:paraId="495A8F8C" w14:textId="69C3BB6F" w:rsidR="00DA6B40" w:rsidRPr="005B1671" w:rsidRDefault="00F44D87" w:rsidP="004D491F">
            <w:pPr>
              <w:rPr>
                <w:rFonts w:ascii="Calibri" w:hAnsi="Calibri" w:cs="Calibri"/>
              </w:rPr>
            </w:pPr>
            <w:r w:rsidRPr="005B1671">
              <w:rPr>
                <w:rFonts w:ascii="Calibri" w:hAnsi="Calibri" w:cs="Calibri"/>
                <w:shd w:val="clear" w:color="auto" w:fill="FFFFFF"/>
              </w:rPr>
              <w:t xml:space="preserve">Patients 18-85 years of age who had a visit and diagnosis of essential hypertension starting before and continuing </w:t>
            </w:r>
            <w:r w:rsidR="00A62C00" w:rsidRPr="005B1671">
              <w:rPr>
                <w:rFonts w:ascii="Calibri" w:hAnsi="Calibri" w:cs="Calibri"/>
                <w:shd w:val="clear" w:color="auto" w:fill="FFFFFF"/>
              </w:rPr>
              <w:t>into or</w:t>
            </w:r>
            <w:r w:rsidRPr="005B1671">
              <w:rPr>
                <w:rFonts w:ascii="Calibri" w:hAnsi="Calibri" w:cs="Calibri"/>
                <w:shd w:val="clear" w:color="auto" w:fill="FFFFFF"/>
              </w:rPr>
              <w:t xml:space="preserve"> starting during the first six months of the measurement period.</w:t>
            </w:r>
          </w:p>
        </w:tc>
      </w:tr>
      <w:tr w:rsidR="007C1B55" w:rsidRPr="00B4618A" w14:paraId="01F5EF8A" w14:textId="77777777" w:rsidTr="005B1671">
        <w:trPr>
          <w:trHeight w:val="1301"/>
        </w:trPr>
        <w:tc>
          <w:tcPr>
            <w:tcW w:w="2097" w:type="dxa"/>
            <w:hideMark/>
          </w:tcPr>
          <w:p w14:paraId="1F1E60A5" w14:textId="77777777" w:rsidR="007C1B55" w:rsidRPr="00B4618A" w:rsidRDefault="007C1B55" w:rsidP="004D491F">
            <w:pPr>
              <w:rPr>
                <w:b/>
                <w:bCs/>
              </w:rPr>
            </w:pPr>
            <w:r w:rsidRPr="00B4618A">
              <w:rPr>
                <w:b/>
                <w:bCs/>
              </w:rPr>
              <w:t>Denominator Exclusions</w:t>
            </w:r>
          </w:p>
        </w:tc>
        <w:tc>
          <w:tcPr>
            <w:tcW w:w="7978" w:type="dxa"/>
            <w:hideMark/>
          </w:tcPr>
          <w:p w14:paraId="3313CC9C" w14:textId="325C36F4" w:rsidR="00F44D87" w:rsidRPr="00EE5809" w:rsidRDefault="00F44D87" w:rsidP="00F44D87">
            <w:pPr>
              <w:pStyle w:val="NormalWeb"/>
              <w:spacing w:before="0" w:beforeAutospacing="0" w:after="0" w:afterAutospacing="0"/>
              <w:rPr>
                <w:rFonts w:ascii="Calibri" w:hAnsi="Calibri" w:cs="Calibri"/>
                <w:sz w:val="22"/>
                <w:szCs w:val="22"/>
              </w:rPr>
            </w:pPr>
            <w:r w:rsidRPr="00EE5809">
              <w:rPr>
                <w:rFonts w:ascii="Calibri" w:hAnsi="Calibri" w:cs="Calibri"/>
                <w:sz w:val="22"/>
                <w:szCs w:val="22"/>
              </w:rPr>
              <w:t>Patients with evidence of end stage renal disease (ESRD), dialysis or renal transplant before or during the measurement period. Also exclude patients with a diagnosis of pregnancy</w:t>
            </w:r>
            <w:r w:rsidR="00780A09" w:rsidRPr="00EE5809">
              <w:rPr>
                <w:rFonts w:ascii="Calibri" w:hAnsi="Calibri" w:cs="Calibri"/>
                <w:sz w:val="22"/>
                <w:szCs w:val="22"/>
              </w:rPr>
              <w:t>, are in hospice</w:t>
            </w:r>
            <w:r w:rsidRPr="00EE5809">
              <w:rPr>
                <w:rFonts w:ascii="Calibri" w:hAnsi="Calibri" w:cs="Calibri"/>
                <w:sz w:val="22"/>
                <w:szCs w:val="22"/>
              </w:rPr>
              <w:t xml:space="preserve"> during the measurement period.</w:t>
            </w:r>
          </w:p>
          <w:p w14:paraId="41BF6BC6" w14:textId="082FE271" w:rsidR="00F44D87" w:rsidRPr="00EE5809" w:rsidRDefault="00F44D87" w:rsidP="00F44D87">
            <w:pPr>
              <w:pStyle w:val="NormalWeb"/>
              <w:spacing w:before="0" w:beforeAutospacing="0" w:after="0" w:afterAutospacing="0"/>
              <w:rPr>
                <w:rFonts w:ascii="Calibri" w:hAnsi="Calibri" w:cs="Calibri"/>
                <w:sz w:val="22"/>
                <w:szCs w:val="22"/>
              </w:rPr>
            </w:pPr>
            <w:r w:rsidRPr="00EE5809">
              <w:rPr>
                <w:rFonts w:ascii="Calibri" w:hAnsi="Calibri" w:cs="Calibri"/>
                <w:sz w:val="22"/>
                <w:szCs w:val="22"/>
              </w:rPr>
              <w:t>Exclude patients 66 and older who are living long term in an institution for more than 90 consecutive days during the measurement period</w:t>
            </w:r>
            <w:r w:rsidR="00780A09" w:rsidRPr="00EE5809">
              <w:rPr>
                <w:rFonts w:ascii="Calibri" w:hAnsi="Calibri" w:cs="Calibri"/>
                <w:sz w:val="22"/>
                <w:szCs w:val="22"/>
              </w:rPr>
              <w:t xml:space="preserve"> or </w:t>
            </w:r>
            <w:r w:rsidRPr="00EE5809">
              <w:rPr>
                <w:rFonts w:ascii="Calibri" w:hAnsi="Calibri" w:cs="Calibri"/>
                <w:sz w:val="22"/>
                <w:szCs w:val="22"/>
              </w:rPr>
              <w:t>with an indication of frailty for any part of the measurement period who meet any of the following criteria:</w:t>
            </w:r>
          </w:p>
          <w:p w14:paraId="1AB3896A" w14:textId="1D503F55" w:rsidR="00F44D87" w:rsidRPr="00EE5809" w:rsidRDefault="00F44D87" w:rsidP="00F44D87">
            <w:pPr>
              <w:pStyle w:val="NormalWeb"/>
              <w:spacing w:before="0" w:beforeAutospacing="0" w:after="0" w:afterAutospacing="0"/>
              <w:rPr>
                <w:rFonts w:ascii="Calibri" w:hAnsi="Calibri" w:cs="Calibri"/>
                <w:sz w:val="22"/>
                <w:szCs w:val="22"/>
              </w:rPr>
            </w:pPr>
            <w:r w:rsidRPr="00EE5809">
              <w:rPr>
                <w:rFonts w:ascii="Calibri" w:hAnsi="Calibri" w:cs="Calibri"/>
                <w:sz w:val="22"/>
                <w:szCs w:val="22"/>
              </w:rPr>
              <w:t xml:space="preserve">- Advanced illness with two outpatient encounters during the measurement period or the year prior OR advanced illness with one inpatient encounter during </w:t>
            </w:r>
          </w:p>
          <w:p w14:paraId="74AB5643" w14:textId="08BCACEE" w:rsidR="00F44D87" w:rsidRPr="00EE5809" w:rsidRDefault="00F44D87" w:rsidP="00F44D87">
            <w:pPr>
              <w:pStyle w:val="NormalWeb"/>
              <w:spacing w:before="0" w:beforeAutospacing="0" w:after="0" w:afterAutospacing="0"/>
              <w:rPr>
                <w:rFonts w:ascii="Calibri" w:hAnsi="Calibri" w:cs="Calibri"/>
                <w:sz w:val="22"/>
                <w:szCs w:val="22"/>
              </w:rPr>
            </w:pPr>
            <w:r w:rsidRPr="00EE5809">
              <w:rPr>
                <w:rFonts w:ascii="Calibri" w:hAnsi="Calibri" w:cs="Calibri"/>
                <w:sz w:val="22"/>
                <w:szCs w:val="22"/>
              </w:rPr>
              <w:t xml:space="preserve">- OR taking dementia medications </w:t>
            </w:r>
          </w:p>
          <w:p w14:paraId="6C192F5D" w14:textId="5D8D2937" w:rsidR="00F44D87" w:rsidRPr="00EE5809" w:rsidRDefault="00F44D87" w:rsidP="00F44D87">
            <w:pPr>
              <w:pStyle w:val="NormalWeb"/>
              <w:spacing w:before="0" w:beforeAutospacing="0" w:after="0" w:afterAutospacing="0"/>
              <w:rPr>
                <w:rFonts w:ascii="Calibri" w:hAnsi="Calibri" w:cs="Calibri"/>
                <w:sz w:val="22"/>
                <w:szCs w:val="22"/>
              </w:rPr>
            </w:pPr>
            <w:r w:rsidRPr="00EE5809">
              <w:rPr>
                <w:rFonts w:ascii="Calibri" w:hAnsi="Calibri" w:cs="Calibri"/>
                <w:sz w:val="22"/>
                <w:szCs w:val="22"/>
              </w:rPr>
              <w:t xml:space="preserve">Exclude patients 81 and older with an indication of frailty </w:t>
            </w:r>
          </w:p>
          <w:p w14:paraId="67966524" w14:textId="0D960A70" w:rsidR="00F44D87" w:rsidRPr="00EE5809" w:rsidRDefault="00F44D87" w:rsidP="00F44D87">
            <w:pPr>
              <w:pStyle w:val="NormalWeb"/>
              <w:spacing w:before="0" w:beforeAutospacing="0" w:after="0" w:afterAutospacing="0"/>
              <w:rPr>
                <w:rFonts w:ascii="Calibri" w:hAnsi="Calibri" w:cs="Calibri"/>
                <w:sz w:val="22"/>
                <w:szCs w:val="22"/>
              </w:rPr>
            </w:pPr>
            <w:r w:rsidRPr="00EE5809">
              <w:rPr>
                <w:rFonts w:ascii="Calibri" w:hAnsi="Calibri" w:cs="Calibri"/>
                <w:sz w:val="22"/>
                <w:szCs w:val="22"/>
              </w:rPr>
              <w:t xml:space="preserve">Exclude patients receiving palliative care </w:t>
            </w:r>
          </w:p>
          <w:p w14:paraId="6B6E4FBD" w14:textId="3D8625EC" w:rsidR="00F44D87" w:rsidRPr="005B1671" w:rsidRDefault="00F44D87" w:rsidP="004D491F">
            <w:pPr>
              <w:rPr>
                <w:rFonts w:ascii="Calibri" w:hAnsi="Calibri" w:cs="Calibri"/>
              </w:rPr>
            </w:pPr>
          </w:p>
        </w:tc>
      </w:tr>
      <w:tr w:rsidR="007C1B55" w:rsidRPr="00B4618A" w14:paraId="6030EDF4" w14:textId="77777777" w:rsidTr="005B1671">
        <w:trPr>
          <w:trHeight w:val="433"/>
        </w:trPr>
        <w:tc>
          <w:tcPr>
            <w:tcW w:w="2097" w:type="dxa"/>
            <w:hideMark/>
          </w:tcPr>
          <w:p w14:paraId="682F17A9" w14:textId="40B57D55" w:rsidR="007C1B55" w:rsidRPr="00B4618A" w:rsidRDefault="005B1671" w:rsidP="004D491F">
            <w:r w:rsidRPr="00B4618A">
              <w:rPr>
                <w:b/>
                <w:bCs/>
              </w:rPr>
              <w:t>Measure source</w:t>
            </w:r>
          </w:p>
        </w:tc>
        <w:tc>
          <w:tcPr>
            <w:tcW w:w="7978" w:type="dxa"/>
            <w:hideMark/>
          </w:tcPr>
          <w:p w14:paraId="073D77D3" w14:textId="324A3184" w:rsidR="00F44D87" w:rsidRPr="00B7362C" w:rsidRDefault="00D937FB" w:rsidP="004D491F">
            <w:pPr>
              <w:rPr>
                <w:b/>
                <w:bCs/>
                <w:u w:val="single"/>
              </w:rPr>
            </w:pPr>
            <w:hyperlink r:id="rId18" w:history="1">
              <w:r w:rsidR="00920CED" w:rsidRPr="00B7362C">
                <w:rPr>
                  <w:rStyle w:val="Hyperlink"/>
                  <w:color w:val="auto"/>
                </w:rPr>
                <w:t>https://ecqi.healthit.gov/ecqm/ec/2022/cms165v10</w:t>
              </w:r>
            </w:hyperlink>
          </w:p>
          <w:p w14:paraId="7D220B38" w14:textId="77777777" w:rsidR="00F44D87" w:rsidRPr="00B7362C" w:rsidRDefault="00F44D87" w:rsidP="004D491F">
            <w:pPr>
              <w:rPr>
                <w:rStyle w:val="Hyperlink"/>
                <w:b/>
                <w:bCs/>
                <w:color w:val="auto"/>
              </w:rPr>
            </w:pPr>
          </w:p>
          <w:p w14:paraId="71ABA048" w14:textId="7BDDA5DE" w:rsidR="00F67BE2" w:rsidRPr="00B7362C" w:rsidRDefault="00F67BE2" w:rsidP="004D491F">
            <w:pPr>
              <w:rPr>
                <w:b/>
                <w:bCs/>
                <w:u w:val="single"/>
              </w:rPr>
            </w:pPr>
          </w:p>
        </w:tc>
      </w:tr>
      <w:tr w:rsidR="007C1B55" w:rsidRPr="00B4618A" w14:paraId="74A32304" w14:textId="77777777" w:rsidTr="005B1671">
        <w:trPr>
          <w:trHeight w:val="515"/>
        </w:trPr>
        <w:tc>
          <w:tcPr>
            <w:tcW w:w="2097" w:type="dxa"/>
            <w:hideMark/>
          </w:tcPr>
          <w:p w14:paraId="502596F6" w14:textId="77777777" w:rsidR="007C1B55" w:rsidRPr="00B4618A" w:rsidRDefault="007C1B55" w:rsidP="004D491F">
            <w:pPr>
              <w:rPr>
                <w:b/>
                <w:bCs/>
              </w:rPr>
            </w:pPr>
            <w:r w:rsidRPr="00B4618A">
              <w:rPr>
                <w:b/>
                <w:bCs/>
              </w:rPr>
              <w:t>Additional Information</w:t>
            </w:r>
          </w:p>
        </w:tc>
        <w:tc>
          <w:tcPr>
            <w:tcW w:w="7978" w:type="dxa"/>
            <w:hideMark/>
          </w:tcPr>
          <w:p w14:paraId="6C62D64D" w14:textId="22F8F32C" w:rsidR="00825EC4" w:rsidRPr="00B7362C" w:rsidRDefault="00540252" w:rsidP="004D491F">
            <w:pPr>
              <w:rPr>
                <w:b/>
                <w:bCs/>
              </w:rPr>
            </w:pPr>
            <w:hyperlink r:id="rId19" w:history="1">
              <w:r w:rsidR="00825EC4" w:rsidRPr="00B7362C">
                <w:rPr>
                  <w:rStyle w:val="Hyperlink"/>
                  <w:color w:val="auto"/>
                </w:rPr>
                <w:t>https://www.cdc.gov/bloodpressure/about.htm</w:t>
              </w:r>
            </w:hyperlink>
          </w:p>
          <w:p w14:paraId="30E29978" w14:textId="77777777" w:rsidR="00920CED" w:rsidRPr="00B7362C" w:rsidRDefault="00D937FB" w:rsidP="004D491F">
            <w:pPr>
              <w:rPr>
                <w:u w:val="single"/>
              </w:rPr>
            </w:pPr>
            <w:hyperlink r:id="rId20" w:history="1">
              <w:r w:rsidR="00920CED" w:rsidRPr="00B7362C">
                <w:rPr>
                  <w:u w:val="single"/>
                </w:rPr>
                <w:t>CMS165v10-eCQMFlow.pdf</w:t>
              </w:r>
            </w:hyperlink>
          </w:p>
          <w:p w14:paraId="004FCCC8" w14:textId="2A9700C1" w:rsidR="00816E59" w:rsidRPr="00EE5809" w:rsidRDefault="00816E59" w:rsidP="00825E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EE5809">
              <w:rPr>
                <w:rFonts w:eastAsia="Times New Roman" w:cstheme="minorHAnsi"/>
              </w:rPr>
              <w:t xml:space="preserve">In reference to the numerator element, only blood pressure readings performed by a </w:t>
            </w:r>
            <w:r w:rsidR="00A62C00" w:rsidRPr="00EE5809">
              <w:rPr>
                <w:rFonts w:eastAsia="Times New Roman" w:cstheme="minorHAnsi"/>
              </w:rPr>
              <w:t>clinician,</w:t>
            </w:r>
            <w:r w:rsidRPr="00EE5809">
              <w:rPr>
                <w:rFonts w:eastAsia="Times New Roman" w:cstheme="minorHAnsi"/>
              </w:rPr>
              <w:t xml:space="preserve"> or a remote monitoring device are acceptable for numerator compliance with this measure. This includes blood pressures taken in person by a clinician and blood pressures measured remotely by electronic monitoring devices capable of transmitting the blood pressure data to the clinician. Blood pressure readings taken by a remote monitoring device and conveyed by the patient to the clinician are also acceptable. It is the clinician’s responsibility and discretion to confirm the remote monitoring device used to obtain the blood pressure is considered acceptable and reliable and whether the blood pressure reading is considered accurate before documenting it in the patient’s medical record.</w:t>
            </w:r>
          </w:p>
          <w:p w14:paraId="4D1D35BB" w14:textId="125DBB2E" w:rsidR="00816E59" w:rsidRPr="00B7362C" w:rsidRDefault="00816E59" w:rsidP="004D491F">
            <w:pPr>
              <w:rPr>
                <w:b/>
                <w:bCs/>
              </w:rPr>
            </w:pPr>
          </w:p>
        </w:tc>
      </w:tr>
      <w:tr w:rsidR="009662E7" w:rsidRPr="00B4618A" w14:paraId="2D028B81" w14:textId="77777777" w:rsidTr="005B1671">
        <w:trPr>
          <w:trHeight w:val="683"/>
        </w:trPr>
        <w:tc>
          <w:tcPr>
            <w:tcW w:w="2097" w:type="dxa"/>
          </w:tcPr>
          <w:p w14:paraId="318359B9" w14:textId="77777777" w:rsidR="009662E7" w:rsidRPr="00B4618A" w:rsidRDefault="009662E7" w:rsidP="004D491F">
            <w:pPr>
              <w:rPr>
                <w:b/>
                <w:bCs/>
              </w:rPr>
            </w:pPr>
            <w:r>
              <w:rPr>
                <w:b/>
                <w:bCs/>
              </w:rPr>
              <w:t>Goal</w:t>
            </w:r>
          </w:p>
        </w:tc>
        <w:tc>
          <w:tcPr>
            <w:tcW w:w="7978" w:type="dxa"/>
          </w:tcPr>
          <w:p w14:paraId="4E4AF76A" w14:textId="0E2F66B5" w:rsidR="009662E7" w:rsidRPr="005B1671" w:rsidRDefault="001326A7" w:rsidP="005B1671">
            <w:pPr>
              <w:pStyle w:val="Default"/>
              <w:rPr>
                <w:rFonts w:ascii="Calibri" w:hAnsi="Calibri"/>
                <w:sz w:val="22"/>
                <w:szCs w:val="22"/>
              </w:rPr>
            </w:pPr>
            <w:r w:rsidRPr="001326A7">
              <w:rPr>
                <w:rFonts w:ascii="Calibri" w:hAnsi="Calibri"/>
                <w:sz w:val="22"/>
                <w:szCs w:val="22"/>
              </w:rPr>
              <w:t>Demonstrate that the percentage of patients with HTN in control is at or above the goal of 75%</w:t>
            </w:r>
          </w:p>
        </w:tc>
      </w:tr>
      <w:tr w:rsidR="00787594" w:rsidRPr="00B4618A" w14:paraId="0FDC3696" w14:textId="77777777" w:rsidTr="005B1671">
        <w:trPr>
          <w:trHeight w:val="742"/>
        </w:trPr>
        <w:tc>
          <w:tcPr>
            <w:tcW w:w="2097" w:type="dxa"/>
          </w:tcPr>
          <w:p w14:paraId="6BE6A75E" w14:textId="477E7DFC" w:rsidR="00787594" w:rsidRPr="005B1671" w:rsidRDefault="00632BFE" w:rsidP="004D491F">
            <w:pPr>
              <w:rPr>
                <w:rFonts w:cstheme="minorHAnsi"/>
              </w:rPr>
            </w:pPr>
            <w:r w:rsidRPr="005B1671">
              <w:rPr>
                <w:rFonts w:cstheme="minorHAnsi"/>
                <w:b/>
                <w:bCs/>
              </w:rPr>
              <w:lastRenderedPageBreak/>
              <w:t>Summary of changes</w:t>
            </w:r>
            <w:r w:rsidR="008E24EA" w:rsidRPr="005B1671">
              <w:rPr>
                <w:rFonts w:cstheme="minorHAnsi"/>
                <w:b/>
                <w:bCs/>
              </w:rPr>
              <w:t>.</w:t>
            </w:r>
            <w:r w:rsidRPr="005B1671">
              <w:rPr>
                <w:rFonts w:cstheme="minorHAnsi"/>
                <w:b/>
                <w:bCs/>
              </w:rPr>
              <w:t xml:space="preserve"> Please refer to previous</w:t>
            </w:r>
            <w:r w:rsidRPr="005B1671">
              <w:rPr>
                <w:rFonts w:cstheme="minorHAnsi"/>
              </w:rPr>
              <w:t xml:space="preserve"> </w:t>
            </w:r>
            <w:r w:rsidRPr="005B1671">
              <w:rPr>
                <w:rFonts w:cstheme="minorHAnsi"/>
                <w:b/>
                <w:bCs/>
              </w:rPr>
              <w:t xml:space="preserve">version for </w:t>
            </w:r>
            <w:r w:rsidR="00C8096F" w:rsidRPr="005B1671">
              <w:rPr>
                <w:rFonts w:cstheme="minorHAnsi"/>
                <w:b/>
                <w:bCs/>
              </w:rPr>
              <w:t>specific</w:t>
            </w:r>
            <w:r w:rsidRPr="005B1671">
              <w:rPr>
                <w:rFonts w:cstheme="minorHAnsi"/>
                <w:b/>
                <w:bCs/>
              </w:rPr>
              <w:t xml:space="preserve"> details</w:t>
            </w:r>
          </w:p>
        </w:tc>
        <w:tc>
          <w:tcPr>
            <w:tcW w:w="7978" w:type="dxa"/>
            <w:shd w:val="clear" w:color="auto" w:fill="FFFFFF" w:themeFill="background1"/>
          </w:tcPr>
          <w:p w14:paraId="0AAFA867" w14:textId="0276062A" w:rsidR="00787594" w:rsidRPr="005B1671" w:rsidRDefault="00CD1C50" w:rsidP="00CD1C50">
            <w:pPr>
              <w:pStyle w:val="Default"/>
              <w:rPr>
                <w:rFonts w:asciiTheme="minorHAnsi" w:hAnsiTheme="minorHAnsi" w:cstheme="minorHAnsi"/>
                <w:color w:val="auto"/>
                <w:sz w:val="22"/>
                <w:szCs w:val="22"/>
                <w:shd w:val="clear" w:color="auto" w:fill="90EE90"/>
              </w:rPr>
            </w:pPr>
            <w:r w:rsidRPr="005B1671">
              <w:rPr>
                <w:rFonts w:asciiTheme="minorHAnsi" w:hAnsiTheme="minorHAnsi" w:cstheme="minorHAnsi"/>
                <w:color w:val="auto"/>
                <w:sz w:val="22"/>
                <w:szCs w:val="22"/>
                <w:shd w:val="clear" w:color="auto" w:fill="FFFFFF"/>
              </w:rPr>
              <w:t xml:space="preserve">Measure description has changed to starting before and continuing into or starting during the first six months. </w:t>
            </w:r>
            <w:r w:rsidR="00787594" w:rsidRPr="005B1671">
              <w:rPr>
                <w:rFonts w:asciiTheme="minorHAnsi" w:hAnsiTheme="minorHAnsi" w:cstheme="minorHAnsi"/>
                <w:color w:val="auto"/>
                <w:sz w:val="22"/>
                <w:szCs w:val="22"/>
                <w:shd w:val="clear" w:color="auto" w:fill="FFFFFF"/>
              </w:rPr>
              <w:t xml:space="preserve">Exclude </w:t>
            </w:r>
            <w:r w:rsidRPr="005B1671">
              <w:rPr>
                <w:rFonts w:asciiTheme="minorHAnsi" w:hAnsiTheme="minorHAnsi" w:cstheme="minorHAnsi"/>
                <w:color w:val="auto"/>
                <w:sz w:val="22"/>
                <w:szCs w:val="22"/>
                <w:shd w:val="clear" w:color="auto" w:fill="FFFFFF"/>
              </w:rPr>
              <w:t xml:space="preserve">criteria (age specific) for </w:t>
            </w:r>
            <w:r w:rsidR="00787594" w:rsidRPr="005B1671">
              <w:rPr>
                <w:rFonts w:asciiTheme="minorHAnsi" w:hAnsiTheme="minorHAnsi" w:cstheme="minorHAnsi"/>
                <w:color w:val="auto"/>
                <w:sz w:val="22"/>
                <w:szCs w:val="22"/>
                <w:shd w:val="clear" w:color="auto" w:fill="FFFFFF"/>
              </w:rPr>
              <w:t>patients with</w:t>
            </w:r>
            <w:r w:rsidRPr="005B1671">
              <w:rPr>
                <w:rFonts w:asciiTheme="minorHAnsi" w:hAnsiTheme="minorHAnsi" w:cstheme="minorHAnsi"/>
                <w:color w:val="auto"/>
                <w:sz w:val="22"/>
                <w:szCs w:val="22"/>
                <w:shd w:val="clear" w:color="auto" w:fill="FFFFFF"/>
              </w:rPr>
              <w:t xml:space="preserve"> frailty, advanced illness, taking dementia medications, receiving palliative care.</w:t>
            </w:r>
          </w:p>
        </w:tc>
      </w:tr>
    </w:tbl>
    <w:p w14:paraId="1501081C" w14:textId="77777777" w:rsidR="00B7362C" w:rsidRDefault="00B7362C" w:rsidP="00EF6580">
      <w:pPr>
        <w:spacing w:after="0" w:line="240" w:lineRule="auto"/>
        <w:rPr>
          <w:i/>
        </w:rPr>
      </w:pPr>
    </w:p>
    <w:p w14:paraId="2D513035" w14:textId="77777777" w:rsidR="00B7362C" w:rsidRDefault="00B7362C" w:rsidP="00EF6580">
      <w:pPr>
        <w:spacing w:after="0" w:line="240" w:lineRule="auto"/>
        <w:rPr>
          <w:i/>
        </w:rPr>
      </w:pPr>
    </w:p>
    <w:p w14:paraId="5B81C9D0" w14:textId="77777777" w:rsidR="00B7362C" w:rsidRDefault="00B7362C" w:rsidP="00EF6580">
      <w:pPr>
        <w:spacing w:after="0" w:line="240" w:lineRule="auto"/>
        <w:rPr>
          <w:i/>
        </w:rPr>
      </w:pPr>
    </w:p>
    <w:p w14:paraId="55AEA037" w14:textId="1EB33194" w:rsidR="00CD1D7A" w:rsidRDefault="000B415E" w:rsidP="00EF6580">
      <w:pPr>
        <w:spacing w:after="0" w:line="240" w:lineRule="auto"/>
        <w:rPr>
          <w:noProof/>
        </w:rPr>
      </w:pPr>
      <w:r w:rsidRPr="000C7EC1">
        <w:rPr>
          <w:i/>
        </w:rPr>
        <w:t xml:space="preserve">Screenshot </w:t>
      </w:r>
      <w:r>
        <w:rPr>
          <w:i/>
        </w:rPr>
        <w:t>of</w:t>
      </w:r>
      <w:r w:rsidRPr="000C7EC1">
        <w:rPr>
          <w:i/>
        </w:rPr>
        <w:t xml:space="preserve"> Form </w:t>
      </w:r>
      <w:r>
        <w:rPr>
          <w:i/>
        </w:rPr>
        <w:t>used to submit Measure Data</w:t>
      </w:r>
      <w:r>
        <w:rPr>
          <w:noProof/>
        </w:rPr>
        <w:t xml:space="preserve"> </w:t>
      </w:r>
      <w:r w:rsidR="001B663F">
        <w:rPr>
          <w:noProof/>
        </w:rPr>
        <w:drawing>
          <wp:inline distT="0" distB="0" distL="0" distR="0" wp14:anchorId="4E0D94FE" wp14:editId="5816DD14">
            <wp:extent cx="59436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1926" cy="2394124"/>
                    </a:xfrm>
                    <a:prstGeom prst="rect">
                      <a:avLst/>
                    </a:prstGeom>
                  </pic:spPr>
                </pic:pic>
              </a:graphicData>
            </a:graphic>
          </wp:inline>
        </w:drawing>
      </w:r>
    </w:p>
    <w:p w14:paraId="6DCDE554" w14:textId="0EE3A7BA" w:rsidR="008F17E0" w:rsidRDefault="008F17E0" w:rsidP="00EF6580">
      <w:pPr>
        <w:spacing w:after="0" w:line="240" w:lineRule="auto"/>
        <w:rPr>
          <w:noProof/>
        </w:rPr>
      </w:pPr>
    </w:p>
    <w:p w14:paraId="4EA646BD" w14:textId="5BF49507" w:rsidR="008F17E0" w:rsidRDefault="008F17E0" w:rsidP="00EF6580">
      <w:pPr>
        <w:spacing w:after="0" w:line="240" w:lineRule="auto"/>
        <w:rPr>
          <w:noProof/>
        </w:rPr>
      </w:pPr>
    </w:p>
    <w:p w14:paraId="51061B9D" w14:textId="725E295A" w:rsidR="008F17E0" w:rsidRDefault="008F17E0" w:rsidP="00EF6580">
      <w:pPr>
        <w:spacing w:after="0" w:line="240" w:lineRule="auto"/>
        <w:rPr>
          <w:noProof/>
        </w:rPr>
      </w:pPr>
    </w:p>
    <w:p w14:paraId="2165614D" w14:textId="49528756" w:rsidR="008F17E0" w:rsidRDefault="008F17E0" w:rsidP="00EF6580">
      <w:pPr>
        <w:spacing w:after="0" w:line="240" w:lineRule="auto"/>
        <w:rPr>
          <w:noProof/>
        </w:rPr>
      </w:pPr>
    </w:p>
    <w:p w14:paraId="7E1EC934" w14:textId="7E19BD5B" w:rsidR="008F17E0" w:rsidRDefault="008F17E0" w:rsidP="00EF6580">
      <w:pPr>
        <w:spacing w:after="0" w:line="240" w:lineRule="auto"/>
        <w:rPr>
          <w:noProof/>
        </w:rPr>
      </w:pPr>
    </w:p>
    <w:p w14:paraId="3C825ACC" w14:textId="6FE21EFF" w:rsidR="008F17E0" w:rsidRDefault="008F17E0" w:rsidP="00EF6580">
      <w:pPr>
        <w:spacing w:after="0" w:line="240" w:lineRule="auto"/>
        <w:rPr>
          <w:noProof/>
        </w:rPr>
      </w:pPr>
    </w:p>
    <w:p w14:paraId="50CC0323" w14:textId="3DA14223" w:rsidR="008F17E0" w:rsidRDefault="008F17E0" w:rsidP="00EF6580">
      <w:pPr>
        <w:spacing w:after="0" w:line="240" w:lineRule="auto"/>
        <w:rPr>
          <w:noProof/>
        </w:rPr>
      </w:pPr>
    </w:p>
    <w:p w14:paraId="6E730C2F" w14:textId="4EA74E40" w:rsidR="008F17E0" w:rsidRDefault="008F17E0" w:rsidP="00EF6580">
      <w:pPr>
        <w:spacing w:after="0" w:line="240" w:lineRule="auto"/>
        <w:rPr>
          <w:noProof/>
        </w:rPr>
      </w:pPr>
    </w:p>
    <w:p w14:paraId="0371CBBD" w14:textId="3FA1C702" w:rsidR="008F17E0" w:rsidRDefault="008F17E0" w:rsidP="00EF6580">
      <w:pPr>
        <w:spacing w:after="0" w:line="240" w:lineRule="auto"/>
        <w:rPr>
          <w:noProof/>
        </w:rPr>
      </w:pPr>
    </w:p>
    <w:p w14:paraId="3C5C7E27" w14:textId="4360839F" w:rsidR="008F17E0" w:rsidRDefault="008F17E0" w:rsidP="00EF6580">
      <w:pPr>
        <w:spacing w:after="0" w:line="240" w:lineRule="auto"/>
        <w:rPr>
          <w:noProof/>
        </w:rPr>
      </w:pPr>
    </w:p>
    <w:p w14:paraId="68A6425A" w14:textId="4D4C5D7F" w:rsidR="008F17E0" w:rsidRDefault="008F17E0" w:rsidP="00EF6580">
      <w:pPr>
        <w:spacing w:after="0" w:line="240" w:lineRule="auto"/>
        <w:rPr>
          <w:noProof/>
        </w:rPr>
      </w:pPr>
    </w:p>
    <w:p w14:paraId="05ABB312" w14:textId="27017C87" w:rsidR="008F17E0" w:rsidRDefault="008F17E0" w:rsidP="00EF6580">
      <w:pPr>
        <w:spacing w:after="0" w:line="240" w:lineRule="auto"/>
        <w:rPr>
          <w:noProof/>
        </w:rPr>
      </w:pPr>
    </w:p>
    <w:p w14:paraId="7F13095A" w14:textId="185AB862" w:rsidR="008F17E0" w:rsidRDefault="008F17E0" w:rsidP="00EF6580">
      <w:pPr>
        <w:spacing w:after="0" w:line="240" w:lineRule="auto"/>
        <w:rPr>
          <w:noProof/>
        </w:rPr>
      </w:pPr>
    </w:p>
    <w:p w14:paraId="6B6056A6" w14:textId="69E91058" w:rsidR="008F17E0" w:rsidRDefault="008F17E0" w:rsidP="00EF6580">
      <w:pPr>
        <w:spacing w:after="0" w:line="240" w:lineRule="auto"/>
        <w:rPr>
          <w:noProof/>
        </w:rPr>
      </w:pPr>
    </w:p>
    <w:p w14:paraId="2D24EB7E" w14:textId="7C6B0D59" w:rsidR="008F17E0" w:rsidRDefault="008F17E0" w:rsidP="00EF6580">
      <w:pPr>
        <w:spacing w:after="0" w:line="240" w:lineRule="auto"/>
        <w:rPr>
          <w:noProof/>
        </w:rPr>
      </w:pPr>
    </w:p>
    <w:p w14:paraId="31EC0199" w14:textId="46062492" w:rsidR="008F17E0" w:rsidRDefault="008F17E0" w:rsidP="00EF6580">
      <w:pPr>
        <w:spacing w:after="0" w:line="240" w:lineRule="auto"/>
        <w:rPr>
          <w:noProof/>
        </w:rPr>
      </w:pPr>
    </w:p>
    <w:p w14:paraId="74B5D4A5" w14:textId="7EABB573" w:rsidR="008F17E0" w:rsidRDefault="008F17E0" w:rsidP="00EF6580">
      <w:pPr>
        <w:spacing w:after="0" w:line="240" w:lineRule="auto"/>
        <w:rPr>
          <w:noProof/>
        </w:rPr>
      </w:pPr>
    </w:p>
    <w:p w14:paraId="1C5CF231" w14:textId="34C40D8E" w:rsidR="008F17E0" w:rsidRDefault="008F17E0" w:rsidP="00EF6580">
      <w:pPr>
        <w:spacing w:after="0" w:line="240" w:lineRule="auto"/>
        <w:rPr>
          <w:noProof/>
        </w:rPr>
      </w:pPr>
    </w:p>
    <w:p w14:paraId="6048CC90" w14:textId="63DC9131" w:rsidR="008F17E0" w:rsidRDefault="008F17E0" w:rsidP="00EF6580">
      <w:pPr>
        <w:spacing w:after="0" w:line="240" w:lineRule="auto"/>
        <w:rPr>
          <w:noProof/>
        </w:rPr>
      </w:pPr>
    </w:p>
    <w:p w14:paraId="14C547A7" w14:textId="77777777" w:rsidR="008F17E0" w:rsidRPr="00EF6580" w:rsidRDefault="008F17E0" w:rsidP="00EF6580">
      <w:pPr>
        <w:spacing w:after="0" w:line="240" w:lineRule="auto"/>
      </w:pPr>
    </w:p>
    <w:p w14:paraId="27453B58" w14:textId="2CBFC033" w:rsidR="00096255" w:rsidRPr="004D491F" w:rsidRDefault="00096255" w:rsidP="00EF6580">
      <w:pPr>
        <w:spacing w:after="0" w:line="240" w:lineRule="auto"/>
        <w:rPr>
          <w:b/>
          <w:bCs/>
        </w:rPr>
      </w:pPr>
      <w:r>
        <w:rPr>
          <w:b/>
          <w:bCs/>
        </w:rPr>
        <w:lastRenderedPageBreak/>
        <w:t>CCE Measure</w:t>
      </w:r>
      <w:r w:rsidRPr="00B4618A">
        <w:rPr>
          <w:b/>
          <w:bCs/>
        </w:rPr>
        <w:t xml:space="preserve"> Specifications</w:t>
      </w:r>
      <w:r w:rsidR="00CB35E1">
        <w:rPr>
          <w:b/>
          <w:bCs/>
        </w:rPr>
        <w:t xml:space="preserve"> for</w:t>
      </w:r>
      <w:r w:rsidR="00CB35E1" w:rsidRPr="00CB35E1">
        <w:rPr>
          <w:b/>
          <w:bCs/>
        </w:rPr>
        <w:t xml:space="preserve"> </w:t>
      </w:r>
      <w:r w:rsidR="00CB35E1">
        <w:rPr>
          <w:b/>
          <w:bCs/>
        </w:rPr>
        <w:t xml:space="preserve">Cardiovascular Disease </w:t>
      </w:r>
      <w:r w:rsidR="006E16B1">
        <w:rPr>
          <w:b/>
          <w:bCs/>
        </w:rPr>
        <w:t>SOW,</w:t>
      </w:r>
      <w:r w:rsidRPr="00B4618A">
        <w:rPr>
          <w:b/>
          <w:bCs/>
        </w:rPr>
        <w:t xml:space="preserve"> </w:t>
      </w:r>
      <w:r w:rsidRPr="003849C5">
        <w:rPr>
          <w:b/>
          <w:bCs/>
        </w:rPr>
        <w:t xml:space="preserve">effective </w:t>
      </w:r>
      <w:r w:rsidR="00F67BE2" w:rsidRPr="003849C5">
        <w:rPr>
          <w:b/>
          <w:bCs/>
        </w:rPr>
        <w:t xml:space="preserve">June </w:t>
      </w:r>
      <w:r w:rsidR="002108C6" w:rsidRPr="003849C5">
        <w:rPr>
          <w:b/>
          <w:bCs/>
        </w:rPr>
        <w:t>30</w:t>
      </w:r>
      <w:r w:rsidR="00F67BE2" w:rsidRPr="003849C5">
        <w:rPr>
          <w:b/>
          <w:bCs/>
        </w:rPr>
        <w:t>,</w:t>
      </w:r>
      <w:r w:rsidR="00334529" w:rsidRPr="003849C5">
        <w:rPr>
          <w:b/>
          <w:bCs/>
        </w:rPr>
        <w:t xml:space="preserve"> 202</w:t>
      </w:r>
      <w:r w:rsidR="00F67BE2" w:rsidRPr="003849C5">
        <w:rPr>
          <w:b/>
          <w:bCs/>
        </w:rPr>
        <w:t>2</w:t>
      </w:r>
    </w:p>
    <w:tbl>
      <w:tblPr>
        <w:tblStyle w:val="TableGrid"/>
        <w:tblW w:w="9649" w:type="dxa"/>
        <w:tblLook w:val="04A0" w:firstRow="1" w:lastRow="0" w:firstColumn="1" w:lastColumn="0" w:noHBand="0" w:noVBand="1"/>
      </w:tblPr>
      <w:tblGrid>
        <w:gridCol w:w="2065"/>
        <w:gridCol w:w="7584"/>
      </w:tblGrid>
      <w:tr w:rsidR="00096255" w:rsidRPr="00B4618A" w14:paraId="233C1C3C" w14:textId="77777777" w:rsidTr="002108C6">
        <w:trPr>
          <w:trHeight w:val="701"/>
        </w:trPr>
        <w:tc>
          <w:tcPr>
            <w:tcW w:w="2065" w:type="dxa"/>
            <w:shd w:val="clear" w:color="auto" w:fill="D9E2F3" w:themeFill="accent1" w:themeFillTint="33"/>
            <w:hideMark/>
          </w:tcPr>
          <w:p w14:paraId="26025EE2" w14:textId="2D460D51" w:rsidR="00096255" w:rsidRPr="00B4618A" w:rsidRDefault="00E27243" w:rsidP="00F74D1E">
            <w:pPr>
              <w:rPr>
                <w:b/>
                <w:bCs/>
              </w:rPr>
            </w:pPr>
            <w:r w:rsidRPr="003849C5">
              <w:rPr>
                <w:b/>
                <w:bCs/>
              </w:rPr>
              <w:t>CMS347v5</w:t>
            </w:r>
          </w:p>
        </w:tc>
        <w:tc>
          <w:tcPr>
            <w:tcW w:w="7584" w:type="dxa"/>
            <w:shd w:val="clear" w:color="auto" w:fill="D9E2F3" w:themeFill="accent1" w:themeFillTint="33"/>
            <w:hideMark/>
          </w:tcPr>
          <w:p w14:paraId="43FEDB9E" w14:textId="77777777" w:rsidR="00096255" w:rsidRPr="00B4618A" w:rsidRDefault="00096255" w:rsidP="00F74D1E">
            <w:r w:rsidRPr="00440CE9">
              <w:rPr>
                <w:b/>
                <w:bCs/>
              </w:rPr>
              <w:t>Statin Therapy for the Prevention and Treatment of Cardiovascular Disease</w:t>
            </w:r>
          </w:p>
        </w:tc>
      </w:tr>
      <w:tr w:rsidR="00096255" w:rsidRPr="00560D0B" w14:paraId="2FD96304" w14:textId="77777777" w:rsidTr="002108C6">
        <w:trPr>
          <w:trHeight w:val="2780"/>
        </w:trPr>
        <w:tc>
          <w:tcPr>
            <w:tcW w:w="2065" w:type="dxa"/>
            <w:hideMark/>
          </w:tcPr>
          <w:p w14:paraId="5413E97C" w14:textId="77777777" w:rsidR="00096255" w:rsidRPr="00B4618A" w:rsidRDefault="00096255" w:rsidP="00F74D1E">
            <w:pPr>
              <w:rPr>
                <w:b/>
                <w:bCs/>
              </w:rPr>
            </w:pPr>
            <w:r w:rsidRPr="00B4618A">
              <w:rPr>
                <w:b/>
                <w:bCs/>
              </w:rPr>
              <w:t>Measure Description</w:t>
            </w:r>
          </w:p>
        </w:tc>
        <w:tc>
          <w:tcPr>
            <w:tcW w:w="7584" w:type="dxa"/>
            <w:hideMark/>
          </w:tcPr>
          <w:p w14:paraId="033149E6" w14:textId="77777777" w:rsidR="00D42A6C" w:rsidRDefault="00096255" w:rsidP="002108C6">
            <w:pPr>
              <w:shd w:val="clear" w:color="auto" w:fill="FFFFFF" w:themeFill="background1"/>
              <w:rPr>
                <w:rFonts w:ascii="Calibri" w:hAnsi="Calibri"/>
                <w:color w:val="000000"/>
              </w:rPr>
            </w:pPr>
            <w:r>
              <w:rPr>
                <w:rFonts w:ascii="Calibri" w:hAnsi="Calibri"/>
                <w:color w:val="000000"/>
              </w:rPr>
              <w:t xml:space="preserve">Percentage of the following patients - all considered at high risk of cardiovascular events  - who were prescribed or were on statin therapy during the measurement period:                                                                                                                              </w:t>
            </w:r>
          </w:p>
          <w:p w14:paraId="1AF12306" w14:textId="471A5994" w:rsidR="002E1738" w:rsidRPr="00EE5809" w:rsidRDefault="00096255" w:rsidP="002108C6">
            <w:pPr>
              <w:shd w:val="clear" w:color="auto" w:fill="FFFFFF" w:themeFill="background1"/>
              <w:rPr>
                <w:rFonts w:ascii="Calibri" w:hAnsi="Calibri"/>
              </w:rPr>
            </w:pPr>
            <w:r>
              <w:rPr>
                <w:rFonts w:ascii="Calibri" w:hAnsi="Calibri"/>
                <w:color w:val="000000"/>
              </w:rPr>
              <w:t>*</w:t>
            </w:r>
            <w:r w:rsidR="002E1738">
              <w:rPr>
                <w:rFonts w:ascii="Calibri" w:hAnsi="Calibri"/>
                <w:color w:val="000000"/>
              </w:rPr>
              <w:t xml:space="preserve">All </w:t>
            </w:r>
            <w:r w:rsidR="002E1738" w:rsidRPr="003849C5">
              <w:rPr>
                <w:rFonts w:ascii="Calibri" w:hAnsi="Calibri"/>
              </w:rPr>
              <w:t xml:space="preserve">patients </w:t>
            </w:r>
            <w:r w:rsidRPr="003849C5">
              <w:rPr>
                <w:rFonts w:ascii="Calibri" w:hAnsi="Calibri"/>
              </w:rPr>
              <w:t xml:space="preserve">who were previously diagnosed with or currently have an active diagnosis of clinical atherosclerotic cardiovascular disease (ASCVD) </w:t>
            </w:r>
            <w:r w:rsidR="002E1738" w:rsidRPr="003849C5">
              <w:rPr>
                <w:rFonts w:ascii="Calibri" w:hAnsi="Calibri"/>
              </w:rPr>
              <w:t>including an ASCVD procedure</w:t>
            </w:r>
            <w:r w:rsidR="00D42A6C">
              <w:rPr>
                <w:rFonts w:ascii="Calibri" w:hAnsi="Calibri"/>
              </w:rPr>
              <w:t xml:space="preserve">; </w:t>
            </w:r>
            <w:r w:rsidR="002108C6" w:rsidRPr="003849C5">
              <w:rPr>
                <w:rFonts w:ascii="Calibri" w:hAnsi="Calibri"/>
              </w:rPr>
              <w:t>OR</w:t>
            </w:r>
            <w:r w:rsidRPr="003849C5">
              <w:rPr>
                <w:rFonts w:ascii="Calibri" w:hAnsi="Calibri"/>
              </w:rPr>
              <w:br/>
              <w:t>*</w:t>
            </w:r>
            <w:r w:rsidR="00C8096F" w:rsidRPr="003849C5">
              <w:rPr>
                <w:rFonts w:ascii="Calibri" w:hAnsi="Calibri"/>
              </w:rPr>
              <w:t>Patients</w:t>
            </w:r>
            <w:r w:rsidRPr="003849C5">
              <w:rPr>
                <w:rFonts w:ascii="Calibri" w:hAnsi="Calibri"/>
              </w:rPr>
              <w:t xml:space="preserve"> aged &gt;= 2</w:t>
            </w:r>
            <w:r w:rsidR="002E1738" w:rsidRPr="003849C5">
              <w:rPr>
                <w:rFonts w:ascii="Calibri" w:hAnsi="Calibri"/>
              </w:rPr>
              <w:t>0</w:t>
            </w:r>
            <w:r w:rsidRPr="003849C5">
              <w:rPr>
                <w:rFonts w:ascii="Calibri" w:hAnsi="Calibri"/>
              </w:rPr>
              <w:t xml:space="preserve"> years who have ever had low-density lipoprotein cholesterol (LDL-C) level &gt;= 190 mg/dL or were previously diagnosed with or currently have an active diagnosis of familial hypercholesterolemia; OR</w:t>
            </w:r>
            <w:r w:rsidR="002E1738" w:rsidRPr="003849C5">
              <w:rPr>
                <w:rFonts w:ascii="Arial" w:hAnsi="Arial" w:cs="Arial"/>
                <w:highlight w:val="yellow"/>
              </w:rPr>
              <w:t xml:space="preserve"> </w:t>
            </w:r>
            <w:r w:rsidRPr="003849C5">
              <w:rPr>
                <w:rFonts w:ascii="Calibri" w:hAnsi="Calibri"/>
              </w:rPr>
              <w:br/>
              <w:t>*</w:t>
            </w:r>
            <w:r w:rsidR="00C8096F" w:rsidRPr="003849C5">
              <w:rPr>
                <w:rFonts w:ascii="Calibri" w:hAnsi="Calibri"/>
              </w:rPr>
              <w:t>Patients</w:t>
            </w:r>
            <w:r w:rsidRPr="003849C5">
              <w:rPr>
                <w:rFonts w:ascii="Calibri" w:hAnsi="Calibri"/>
              </w:rPr>
              <w:t xml:space="preserve"> aged </w:t>
            </w:r>
            <w:r>
              <w:rPr>
                <w:rFonts w:ascii="Calibri" w:hAnsi="Calibri"/>
                <w:color w:val="000000"/>
              </w:rPr>
              <w:t>40-75 years with a diagnosis of diabete</w:t>
            </w:r>
            <w:r w:rsidR="002E1738">
              <w:rPr>
                <w:rFonts w:ascii="Calibri" w:hAnsi="Calibri"/>
                <w:color w:val="000000"/>
              </w:rPr>
              <w:t>s</w:t>
            </w:r>
          </w:p>
        </w:tc>
      </w:tr>
      <w:tr w:rsidR="00096255" w:rsidRPr="00B4618A" w14:paraId="0EEFD090" w14:textId="77777777" w:rsidTr="002108C6">
        <w:trPr>
          <w:trHeight w:val="530"/>
        </w:trPr>
        <w:tc>
          <w:tcPr>
            <w:tcW w:w="2065" w:type="dxa"/>
            <w:hideMark/>
          </w:tcPr>
          <w:p w14:paraId="41B84F05" w14:textId="77777777" w:rsidR="00096255" w:rsidRPr="00B4618A" w:rsidRDefault="00096255" w:rsidP="00F74D1E">
            <w:pPr>
              <w:rPr>
                <w:b/>
                <w:bCs/>
              </w:rPr>
            </w:pPr>
            <w:r w:rsidRPr="00B4618A">
              <w:rPr>
                <w:b/>
                <w:bCs/>
              </w:rPr>
              <w:t>Measurement Period</w:t>
            </w:r>
          </w:p>
        </w:tc>
        <w:tc>
          <w:tcPr>
            <w:tcW w:w="7584" w:type="dxa"/>
            <w:hideMark/>
          </w:tcPr>
          <w:p w14:paraId="56BC3FFE" w14:textId="77777777" w:rsidR="00096255" w:rsidRPr="00B4618A" w:rsidRDefault="00096255" w:rsidP="00F74D1E">
            <w:r w:rsidRPr="00B4618A">
              <w:t>12 months</w:t>
            </w:r>
            <w:r>
              <w:t xml:space="preserve">                                                                                                                                                </w:t>
            </w:r>
          </w:p>
        </w:tc>
      </w:tr>
      <w:tr w:rsidR="00096255" w:rsidRPr="00B4618A" w14:paraId="7BB84E7E" w14:textId="77777777" w:rsidTr="002108C6">
        <w:trPr>
          <w:trHeight w:val="674"/>
        </w:trPr>
        <w:tc>
          <w:tcPr>
            <w:tcW w:w="2065" w:type="dxa"/>
            <w:hideMark/>
          </w:tcPr>
          <w:p w14:paraId="2120DD43" w14:textId="77777777" w:rsidR="00096255" w:rsidRPr="00B4618A" w:rsidRDefault="00096255" w:rsidP="00F74D1E">
            <w:pPr>
              <w:rPr>
                <w:b/>
                <w:bCs/>
              </w:rPr>
            </w:pPr>
            <w:r w:rsidRPr="00B4618A">
              <w:rPr>
                <w:b/>
                <w:bCs/>
              </w:rPr>
              <w:t>Numerator</w:t>
            </w:r>
          </w:p>
        </w:tc>
        <w:tc>
          <w:tcPr>
            <w:tcW w:w="7584" w:type="dxa"/>
            <w:hideMark/>
          </w:tcPr>
          <w:p w14:paraId="04D5089E" w14:textId="622BDEDE" w:rsidR="00096255" w:rsidRPr="003849C5" w:rsidRDefault="00096255" w:rsidP="00F74D1E">
            <w:r w:rsidRPr="003849C5">
              <w:t xml:space="preserve">Patients who are actively using or who receive an order (prescription) for statin therapy at any </w:t>
            </w:r>
            <w:r w:rsidR="00C8096F" w:rsidRPr="003849C5">
              <w:t>time</w:t>
            </w:r>
            <w:r w:rsidRPr="003849C5">
              <w:t xml:space="preserve"> during the measurement period</w:t>
            </w:r>
          </w:p>
        </w:tc>
      </w:tr>
      <w:tr w:rsidR="00096255" w:rsidRPr="00B4618A" w14:paraId="41B4070E" w14:textId="77777777" w:rsidTr="002108C6">
        <w:trPr>
          <w:trHeight w:val="2303"/>
        </w:trPr>
        <w:tc>
          <w:tcPr>
            <w:tcW w:w="2065" w:type="dxa"/>
            <w:hideMark/>
          </w:tcPr>
          <w:p w14:paraId="68A82158" w14:textId="77777777" w:rsidR="00096255" w:rsidRPr="00B4618A" w:rsidRDefault="00096255" w:rsidP="00F74D1E">
            <w:pPr>
              <w:rPr>
                <w:b/>
                <w:bCs/>
              </w:rPr>
            </w:pPr>
            <w:r w:rsidRPr="00B4618A">
              <w:rPr>
                <w:b/>
                <w:bCs/>
              </w:rPr>
              <w:t>Denominator</w:t>
            </w:r>
          </w:p>
        </w:tc>
        <w:tc>
          <w:tcPr>
            <w:tcW w:w="7584" w:type="dxa"/>
            <w:hideMark/>
          </w:tcPr>
          <w:p w14:paraId="6CEECBF3" w14:textId="726F2DD1" w:rsidR="000B4EA5" w:rsidRPr="003849C5" w:rsidRDefault="000B4EA5" w:rsidP="000B4EA5">
            <w:pPr>
              <w:pStyle w:val="NormalWeb"/>
              <w:spacing w:before="0" w:beforeAutospacing="0" w:after="0" w:afterAutospacing="0"/>
              <w:rPr>
                <w:rFonts w:asciiTheme="minorHAnsi" w:hAnsiTheme="minorHAnsi" w:cstheme="minorHAnsi"/>
                <w:sz w:val="22"/>
                <w:szCs w:val="22"/>
              </w:rPr>
            </w:pPr>
            <w:r w:rsidRPr="00EE5809">
              <w:rPr>
                <w:rFonts w:asciiTheme="minorHAnsi" w:hAnsiTheme="minorHAnsi" w:cstheme="minorHAnsi"/>
                <w:sz w:val="22"/>
                <w:szCs w:val="22"/>
                <w:u w:val="single"/>
              </w:rPr>
              <w:t>Population 1</w:t>
            </w:r>
            <w:r w:rsidRPr="003849C5">
              <w:rPr>
                <w:rFonts w:asciiTheme="minorHAnsi" w:hAnsiTheme="minorHAnsi" w:cstheme="minorHAnsi"/>
                <w:sz w:val="22"/>
                <w:szCs w:val="22"/>
              </w:rPr>
              <w:t>:</w:t>
            </w:r>
            <w:r w:rsidR="00B4329F" w:rsidRPr="003849C5">
              <w:rPr>
                <w:rFonts w:asciiTheme="minorHAnsi" w:hAnsiTheme="minorHAnsi" w:cstheme="minorHAnsi"/>
                <w:sz w:val="22"/>
                <w:szCs w:val="22"/>
              </w:rPr>
              <w:t xml:space="preserve"> </w:t>
            </w:r>
            <w:r w:rsidRPr="003849C5">
              <w:rPr>
                <w:rFonts w:asciiTheme="minorHAnsi" w:hAnsiTheme="minorHAnsi" w:cstheme="minorHAnsi"/>
                <w:sz w:val="22"/>
                <w:szCs w:val="22"/>
              </w:rPr>
              <w:t>All patients who were previously diagnosed with or currently have an active diagnosis of clinical ASCVD, including an ASCVD procedure</w:t>
            </w:r>
          </w:p>
          <w:p w14:paraId="1822DCEB" w14:textId="2E3D9939" w:rsidR="000B4EA5" w:rsidRPr="003849C5" w:rsidRDefault="000B4EA5" w:rsidP="000B4EA5">
            <w:pPr>
              <w:pStyle w:val="NormalWeb"/>
              <w:spacing w:before="0" w:beforeAutospacing="0" w:after="0" w:afterAutospacing="0"/>
              <w:rPr>
                <w:rFonts w:asciiTheme="minorHAnsi" w:hAnsiTheme="minorHAnsi" w:cstheme="minorHAnsi"/>
                <w:sz w:val="22"/>
                <w:szCs w:val="22"/>
              </w:rPr>
            </w:pPr>
            <w:r w:rsidRPr="00EE5809">
              <w:rPr>
                <w:rFonts w:asciiTheme="minorHAnsi" w:hAnsiTheme="minorHAnsi" w:cstheme="minorHAnsi"/>
                <w:sz w:val="22"/>
                <w:szCs w:val="22"/>
                <w:u w:val="single"/>
              </w:rPr>
              <w:t>Population 2</w:t>
            </w:r>
            <w:r w:rsidRPr="003849C5">
              <w:rPr>
                <w:rFonts w:asciiTheme="minorHAnsi" w:hAnsiTheme="minorHAnsi" w:cstheme="minorHAnsi"/>
                <w:sz w:val="22"/>
                <w:szCs w:val="22"/>
              </w:rPr>
              <w:t>:</w:t>
            </w:r>
            <w:r w:rsidR="00B4329F" w:rsidRPr="003849C5">
              <w:rPr>
                <w:rFonts w:asciiTheme="minorHAnsi" w:hAnsiTheme="minorHAnsi" w:cstheme="minorHAnsi"/>
                <w:sz w:val="22"/>
                <w:szCs w:val="22"/>
              </w:rPr>
              <w:t xml:space="preserve"> </w:t>
            </w:r>
            <w:r w:rsidRPr="003849C5">
              <w:rPr>
                <w:rFonts w:asciiTheme="minorHAnsi" w:hAnsiTheme="minorHAnsi" w:cstheme="minorHAnsi"/>
                <w:sz w:val="22"/>
                <w:szCs w:val="22"/>
              </w:rPr>
              <w:t>Patients aged &gt;= 20 years at the beginning of the measurement period who have ever had a laboratory result of LDL-C &gt;=190 mg/dL or were previously diagnosed with or currently have an active diagnosis of familial hypercholesterolemia</w:t>
            </w:r>
          </w:p>
          <w:p w14:paraId="6AEE4215" w14:textId="0C2BE193" w:rsidR="000B4EA5" w:rsidRPr="003849C5" w:rsidRDefault="000B4EA5" w:rsidP="000B4EA5">
            <w:pPr>
              <w:pStyle w:val="NormalWeb"/>
              <w:spacing w:before="0" w:beforeAutospacing="0" w:after="0" w:afterAutospacing="0"/>
              <w:rPr>
                <w:rFonts w:asciiTheme="minorHAnsi" w:hAnsiTheme="minorHAnsi" w:cstheme="minorHAnsi"/>
                <w:sz w:val="22"/>
                <w:szCs w:val="22"/>
              </w:rPr>
            </w:pPr>
            <w:r w:rsidRPr="00EE5809">
              <w:rPr>
                <w:rFonts w:asciiTheme="minorHAnsi" w:hAnsiTheme="minorHAnsi" w:cstheme="minorHAnsi"/>
                <w:sz w:val="22"/>
                <w:szCs w:val="22"/>
                <w:u w:val="single"/>
              </w:rPr>
              <w:t>Population 3</w:t>
            </w:r>
            <w:r w:rsidRPr="003849C5">
              <w:rPr>
                <w:rFonts w:asciiTheme="minorHAnsi" w:hAnsiTheme="minorHAnsi" w:cstheme="minorHAnsi"/>
                <w:sz w:val="22"/>
                <w:szCs w:val="22"/>
              </w:rPr>
              <w:t>:</w:t>
            </w:r>
            <w:r w:rsidR="00B4329F" w:rsidRPr="003849C5">
              <w:rPr>
                <w:rFonts w:asciiTheme="minorHAnsi" w:hAnsiTheme="minorHAnsi" w:cstheme="minorHAnsi"/>
                <w:sz w:val="22"/>
                <w:szCs w:val="22"/>
              </w:rPr>
              <w:t xml:space="preserve"> </w:t>
            </w:r>
            <w:r w:rsidRPr="003849C5">
              <w:rPr>
                <w:rFonts w:asciiTheme="minorHAnsi" w:hAnsiTheme="minorHAnsi" w:cstheme="minorHAnsi"/>
                <w:sz w:val="22"/>
                <w:szCs w:val="22"/>
              </w:rPr>
              <w:t>Patients aged 40 to 75 years at the beginning of the measurement period with Type 1 or Type 2 diabetes</w:t>
            </w:r>
          </w:p>
          <w:p w14:paraId="15142AA0" w14:textId="3F106E1E" w:rsidR="000B4EA5" w:rsidRPr="003849C5" w:rsidRDefault="000B4EA5" w:rsidP="00F74D1E"/>
        </w:tc>
      </w:tr>
      <w:tr w:rsidR="003849C5" w:rsidRPr="003849C5" w14:paraId="6E1D4912" w14:textId="77777777" w:rsidTr="002108C6">
        <w:trPr>
          <w:trHeight w:val="1189"/>
        </w:trPr>
        <w:tc>
          <w:tcPr>
            <w:tcW w:w="2065" w:type="dxa"/>
            <w:hideMark/>
          </w:tcPr>
          <w:p w14:paraId="327F7024" w14:textId="77777777" w:rsidR="00096255" w:rsidRPr="003849C5" w:rsidRDefault="00096255" w:rsidP="00F74D1E">
            <w:pPr>
              <w:rPr>
                <w:b/>
                <w:bCs/>
              </w:rPr>
            </w:pPr>
            <w:r w:rsidRPr="003849C5">
              <w:rPr>
                <w:b/>
                <w:bCs/>
              </w:rPr>
              <w:t>Denominator Exclusions</w:t>
            </w:r>
          </w:p>
        </w:tc>
        <w:tc>
          <w:tcPr>
            <w:tcW w:w="7584" w:type="dxa"/>
            <w:hideMark/>
          </w:tcPr>
          <w:p w14:paraId="1F33A1FF" w14:textId="77777777" w:rsidR="0040719C" w:rsidRPr="003849C5" w:rsidRDefault="00096255" w:rsidP="00F74D1E">
            <w:r w:rsidRPr="003849C5">
              <w:t xml:space="preserve">Patients who have a diagnosis of </w:t>
            </w:r>
            <w:r w:rsidR="00BD7441" w:rsidRPr="003849C5">
              <w:t>pregnancy,</w:t>
            </w:r>
            <w:r w:rsidRPr="003849C5">
              <w:t xml:space="preserve"> </w:t>
            </w:r>
            <w:r w:rsidR="0040719C" w:rsidRPr="003849C5">
              <w:t xml:space="preserve">at any time during the measurement period. </w:t>
            </w:r>
          </w:p>
          <w:p w14:paraId="10512E60" w14:textId="77777777" w:rsidR="00B109F0" w:rsidRPr="003849C5" w:rsidRDefault="00096255" w:rsidP="00B109F0">
            <w:r w:rsidRPr="003849C5">
              <w:t xml:space="preserve">Patients who are breastfeeding, </w:t>
            </w:r>
            <w:r w:rsidR="00B109F0" w:rsidRPr="003849C5">
              <w:t xml:space="preserve">at any time during the measurement period. </w:t>
            </w:r>
          </w:p>
          <w:p w14:paraId="5DFDD690" w14:textId="156CDB74" w:rsidR="00096255" w:rsidRPr="003849C5" w:rsidRDefault="00096255" w:rsidP="00F74D1E">
            <w:r w:rsidRPr="003849C5">
              <w:t>Patients who have a diagnosis of rhabdomyolysis (breakdown of muscle tissue that leads to the release of muscle fiber contents into the blood. These substances are harmful to the kidney and often cause kidney damage.)</w:t>
            </w:r>
          </w:p>
        </w:tc>
      </w:tr>
      <w:tr w:rsidR="003849C5" w:rsidRPr="003849C5" w14:paraId="78737EB4" w14:textId="77777777" w:rsidTr="002108C6">
        <w:trPr>
          <w:trHeight w:val="471"/>
        </w:trPr>
        <w:tc>
          <w:tcPr>
            <w:tcW w:w="2065" w:type="dxa"/>
            <w:hideMark/>
          </w:tcPr>
          <w:p w14:paraId="748933EB" w14:textId="77777777" w:rsidR="00096255" w:rsidRPr="003849C5" w:rsidRDefault="00096255" w:rsidP="00F74D1E">
            <w:pPr>
              <w:rPr>
                <w:b/>
                <w:bCs/>
              </w:rPr>
            </w:pPr>
            <w:r w:rsidRPr="003849C5">
              <w:rPr>
                <w:b/>
                <w:bCs/>
              </w:rPr>
              <w:t>Measure source</w:t>
            </w:r>
          </w:p>
        </w:tc>
        <w:tc>
          <w:tcPr>
            <w:tcW w:w="7584" w:type="dxa"/>
            <w:shd w:val="clear" w:color="auto" w:fill="auto"/>
            <w:hideMark/>
          </w:tcPr>
          <w:p w14:paraId="2A05C13A" w14:textId="604DCEAE" w:rsidR="00C526E4" w:rsidRPr="00A206E9" w:rsidRDefault="001B464E" w:rsidP="00F74D1E">
            <w:pPr>
              <w:rPr>
                <w:rStyle w:val="Hyperlink"/>
                <w:color w:val="auto"/>
              </w:rPr>
            </w:pPr>
            <w:hyperlink r:id="rId22" w:history="1">
              <w:r w:rsidR="00C526E4" w:rsidRPr="00A206E9">
                <w:rPr>
                  <w:rStyle w:val="Hyperlink"/>
                  <w:color w:val="auto"/>
                </w:rPr>
                <w:t>https://ecqi.healthit.gov/ecqm/ec/2022/cms347v5</w:t>
              </w:r>
            </w:hyperlink>
          </w:p>
          <w:p w14:paraId="00280D77" w14:textId="77777777" w:rsidR="00C526E4" w:rsidRPr="00A206E9" w:rsidRDefault="00C526E4" w:rsidP="00F74D1E">
            <w:pPr>
              <w:rPr>
                <w:rStyle w:val="Hyperlink"/>
                <w:color w:val="auto"/>
              </w:rPr>
            </w:pPr>
          </w:p>
          <w:p w14:paraId="4E99AC4A" w14:textId="1E8B1B08" w:rsidR="00F67BE2" w:rsidRPr="00A206E9" w:rsidRDefault="00F67BE2" w:rsidP="00F74D1E">
            <w:pPr>
              <w:rPr>
                <w:u w:val="single"/>
              </w:rPr>
            </w:pPr>
          </w:p>
        </w:tc>
      </w:tr>
      <w:tr w:rsidR="003849C5" w:rsidRPr="003849C5" w14:paraId="3D6AD39F" w14:textId="77777777" w:rsidTr="003849C5">
        <w:trPr>
          <w:trHeight w:val="736"/>
        </w:trPr>
        <w:tc>
          <w:tcPr>
            <w:tcW w:w="2065" w:type="dxa"/>
            <w:hideMark/>
          </w:tcPr>
          <w:p w14:paraId="01D0A7D8" w14:textId="77777777" w:rsidR="00096255" w:rsidRPr="003849C5" w:rsidRDefault="00096255" w:rsidP="00F74D1E">
            <w:pPr>
              <w:rPr>
                <w:b/>
                <w:bCs/>
              </w:rPr>
            </w:pPr>
            <w:r w:rsidRPr="003849C5">
              <w:rPr>
                <w:b/>
                <w:bCs/>
              </w:rPr>
              <w:t>Additional Information</w:t>
            </w:r>
          </w:p>
        </w:tc>
        <w:tc>
          <w:tcPr>
            <w:tcW w:w="7584" w:type="dxa"/>
            <w:shd w:val="clear" w:color="auto" w:fill="auto"/>
            <w:hideMark/>
          </w:tcPr>
          <w:p w14:paraId="529000FB" w14:textId="77777777" w:rsidR="00096255" w:rsidRPr="00A206E9" w:rsidRDefault="001B464E" w:rsidP="00F74D1E">
            <w:pPr>
              <w:rPr>
                <w:rStyle w:val="Hyperlink"/>
                <w:color w:val="auto"/>
              </w:rPr>
            </w:pPr>
            <w:hyperlink r:id="rId23" w:history="1">
              <w:r w:rsidR="00096255" w:rsidRPr="00A206E9">
                <w:rPr>
                  <w:rStyle w:val="Hyperlink"/>
                  <w:color w:val="auto"/>
                </w:rPr>
                <w:t xml:space="preserve">Https://www.heart.org/-/media/files/health-topics/cholesterol/chlstrmngmntgd_181110.pdf    </w:t>
              </w:r>
            </w:hyperlink>
          </w:p>
          <w:p w14:paraId="3CC3C50A" w14:textId="7E62B423" w:rsidR="000A0DFB" w:rsidRPr="00A206E9" w:rsidRDefault="001B464E" w:rsidP="00F74D1E">
            <w:pPr>
              <w:rPr>
                <w:u w:val="single"/>
              </w:rPr>
            </w:pPr>
            <w:hyperlink r:id="rId24" w:history="1">
              <w:r w:rsidR="000A0DFB" w:rsidRPr="00A206E9">
                <w:rPr>
                  <w:u w:val="single"/>
                </w:rPr>
                <w:t>CMS347v5-eCQMFlow.pdf</w:t>
              </w:r>
            </w:hyperlink>
          </w:p>
        </w:tc>
      </w:tr>
      <w:tr w:rsidR="000F3D13" w:rsidRPr="003849C5" w14:paraId="316F9692" w14:textId="77777777" w:rsidTr="002108C6">
        <w:trPr>
          <w:trHeight w:val="736"/>
        </w:trPr>
        <w:tc>
          <w:tcPr>
            <w:tcW w:w="2065" w:type="dxa"/>
          </w:tcPr>
          <w:p w14:paraId="00F65C5D" w14:textId="1304F0F0" w:rsidR="000F3D13" w:rsidRPr="003849C5" w:rsidRDefault="00632BFE" w:rsidP="00F74D1E">
            <w:pPr>
              <w:rPr>
                <w:b/>
                <w:bCs/>
              </w:rPr>
            </w:pPr>
            <w:r w:rsidRPr="005C2B34">
              <w:rPr>
                <w:rFonts w:cstheme="minorHAnsi"/>
                <w:b/>
                <w:bCs/>
              </w:rPr>
              <w:t xml:space="preserve">Summary of changes Please refer to previous version for </w:t>
            </w:r>
            <w:r w:rsidR="00C8096F" w:rsidRPr="005C2B34">
              <w:rPr>
                <w:rFonts w:cstheme="minorHAnsi"/>
                <w:b/>
                <w:bCs/>
              </w:rPr>
              <w:t xml:space="preserve">specific </w:t>
            </w:r>
            <w:r w:rsidRPr="005C2B34">
              <w:rPr>
                <w:rFonts w:cstheme="minorHAnsi"/>
                <w:b/>
                <w:bCs/>
              </w:rPr>
              <w:t>details</w:t>
            </w:r>
            <w:r w:rsidRPr="003849C5">
              <w:rPr>
                <w:rFonts w:cstheme="minorHAnsi"/>
              </w:rPr>
              <w:t xml:space="preserve">.  </w:t>
            </w:r>
          </w:p>
        </w:tc>
        <w:tc>
          <w:tcPr>
            <w:tcW w:w="7584" w:type="dxa"/>
          </w:tcPr>
          <w:p w14:paraId="06421D6D" w14:textId="70E19E6B" w:rsidR="000F3D13" w:rsidRPr="003849C5" w:rsidRDefault="00632BFE" w:rsidP="00F74D1E">
            <w:r w:rsidRPr="003849C5">
              <w:rPr>
                <w:rFonts w:cstheme="minorHAnsi"/>
              </w:rPr>
              <w:t>Measure description includes all patients and including an ASCVD procedure. Age has changed to 20 and having an LDL level</w:t>
            </w:r>
            <w:r w:rsidRPr="003849C5">
              <w:rPr>
                <w:rFonts w:cstheme="minorHAnsi"/>
                <w:shd w:val="clear" w:color="auto" w:fill="FFFFFF"/>
              </w:rPr>
              <w:t xml:space="preserve"> &gt;= 190 mg/dL.  Pure hypercholesterolemia has been removed and patients ages 40-75 have  to have just a diagnosis of diabetes without the fasting LDL</w:t>
            </w:r>
            <w:r w:rsidRPr="003849C5">
              <w:rPr>
                <w:rFonts w:ascii="Arial" w:hAnsi="Arial" w:cs="Arial"/>
                <w:shd w:val="clear" w:color="auto" w:fill="FFFFFF"/>
              </w:rPr>
              <w:t>.</w:t>
            </w:r>
          </w:p>
        </w:tc>
      </w:tr>
    </w:tbl>
    <w:p w14:paraId="6CB74A85" w14:textId="45219754" w:rsidR="001B663F" w:rsidRDefault="001B663F" w:rsidP="004D491F">
      <w:pPr>
        <w:spacing w:after="0" w:line="240" w:lineRule="auto"/>
      </w:pPr>
    </w:p>
    <w:p w14:paraId="34B751E0" w14:textId="3C182AFF" w:rsidR="00313CBC" w:rsidRDefault="00915FD3" w:rsidP="004D491F">
      <w:pPr>
        <w:spacing w:after="0" w:line="240" w:lineRule="auto"/>
      </w:pPr>
      <w:r>
        <w:rPr>
          <w:rStyle w:val="normaltextrun"/>
          <w:rFonts w:ascii="Calibri" w:hAnsi="Calibri" w:cs="Calibri"/>
          <w:i/>
          <w:iCs/>
          <w:color w:val="000000"/>
          <w:shd w:val="clear" w:color="auto" w:fill="FFFFFF"/>
        </w:rPr>
        <w:t>Screenshot of Form used to submit Measure Data</w:t>
      </w:r>
    </w:p>
    <w:p w14:paraId="0633E2D1" w14:textId="5553EFAC" w:rsidR="00313CBC" w:rsidRDefault="00915FD3" w:rsidP="004D491F">
      <w:pPr>
        <w:spacing w:after="0" w:line="240" w:lineRule="auto"/>
      </w:pPr>
      <w:r w:rsidRPr="00915FD3">
        <w:rPr>
          <w:noProof/>
        </w:rPr>
        <w:drawing>
          <wp:inline distT="0" distB="0" distL="0" distR="0" wp14:anchorId="10231110" wp14:editId="02FD9543">
            <wp:extent cx="5943600" cy="2372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372360"/>
                    </a:xfrm>
                    <a:prstGeom prst="rect">
                      <a:avLst/>
                    </a:prstGeom>
                    <a:noFill/>
                    <a:ln>
                      <a:noFill/>
                    </a:ln>
                  </pic:spPr>
                </pic:pic>
              </a:graphicData>
            </a:graphic>
          </wp:inline>
        </w:drawing>
      </w:r>
      <w:r w:rsidRPr="00915FD3">
        <w:br/>
      </w:r>
    </w:p>
    <w:p w14:paraId="4AD3A218" w14:textId="33FE491D" w:rsidR="00313CBC" w:rsidRDefault="00313CBC" w:rsidP="004D491F">
      <w:pPr>
        <w:spacing w:after="0" w:line="240" w:lineRule="auto"/>
      </w:pPr>
    </w:p>
    <w:p w14:paraId="3D47A192" w14:textId="000E352F" w:rsidR="00313CBC" w:rsidRDefault="00313CBC" w:rsidP="004D491F">
      <w:pPr>
        <w:spacing w:after="0" w:line="240" w:lineRule="auto"/>
      </w:pPr>
    </w:p>
    <w:p w14:paraId="3C1B0911" w14:textId="7437A578" w:rsidR="00313CBC" w:rsidRDefault="00313CBC" w:rsidP="004D491F">
      <w:pPr>
        <w:spacing w:after="0" w:line="240" w:lineRule="auto"/>
      </w:pPr>
    </w:p>
    <w:p w14:paraId="15D3E156" w14:textId="7C7853B7" w:rsidR="00313CBC" w:rsidRDefault="00313CBC" w:rsidP="004D491F">
      <w:pPr>
        <w:spacing w:after="0" w:line="240" w:lineRule="auto"/>
      </w:pPr>
    </w:p>
    <w:p w14:paraId="2F308B84" w14:textId="7465207D" w:rsidR="00313CBC" w:rsidRDefault="00313CBC" w:rsidP="004D491F">
      <w:pPr>
        <w:spacing w:after="0" w:line="240" w:lineRule="auto"/>
      </w:pPr>
    </w:p>
    <w:p w14:paraId="669C5DEF" w14:textId="17CC83DA" w:rsidR="00313CBC" w:rsidRDefault="00313CBC" w:rsidP="004D491F">
      <w:pPr>
        <w:spacing w:after="0" w:line="240" w:lineRule="auto"/>
      </w:pPr>
    </w:p>
    <w:p w14:paraId="1BEAF67F" w14:textId="1FFF37BC" w:rsidR="00313CBC" w:rsidRDefault="00313CBC" w:rsidP="004D491F">
      <w:pPr>
        <w:spacing w:after="0" w:line="240" w:lineRule="auto"/>
      </w:pPr>
    </w:p>
    <w:p w14:paraId="1D09F9B8" w14:textId="22BDDA31" w:rsidR="00313CBC" w:rsidRDefault="00313CBC" w:rsidP="004D491F">
      <w:pPr>
        <w:spacing w:after="0" w:line="240" w:lineRule="auto"/>
      </w:pPr>
    </w:p>
    <w:p w14:paraId="6868552D" w14:textId="05989537" w:rsidR="00313CBC" w:rsidRDefault="00313CBC" w:rsidP="004D491F">
      <w:pPr>
        <w:spacing w:after="0" w:line="240" w:lineRule="auto"/>
      </w:pPr>
    </w:p>
    <w:p w14:paraId="49A107BE" w14:textId="41B2D6AB" w:rsidR="00313CBC" w:rsidRDefault="00313CBC" w:rsidP="004D491F">
      <w:pPr>
        <w:spacing w:after="0" w:line="240" w:lineRule="auto"/>
      </w:pPr>
    </w:p>
    <w:p w14:paraId="04E24560" w14:textId="778C32E3" w:rsidR="00313CBC" w:rsidRDefault="00313CBC" w:rsidP="004D491F">
      <w:pPr>
        <w:spacing w:after="0" w:line="240" w:lineRule="auto"/>
      </w:pPr>
    </w:p>
    <w:p w14:paraId="58892573" w14:textId="206E97B4" w:rsidR="00313CBC" w:rsidRDefault="00313CBC" w:rsidP="004D491F">
      <w:pPr>
        <w:spacing w:after="0" w:line="240" w:lineRule="auto"/>
      </w:pPr>
    </w:p>
    <w:p w14:paraId="4DBE8F95" w14:textId="22973400" w:rsidR="00313CBC" w:rsidRDefault="00313CBC" w:rsidP="004D491F">
      <w:pPr>
        <w:spacing w:after="0" w:line="240" w:lineRule="auto"/>
      </w:pPr>
    </w:p>
    <w:p w14:paraId="1DB2BAEB" w14:textId="6CB997D2" w:rsidR="00313CBC" w:rsidRDefault="00313CBC" w:rsidP="004D491F">
      <w:pPr>
        <w:spacing w:after="0" w:line="240" w:lineRule="auto"/>
      </w:pPr>
    </w:p>
    <w:p w14:paraId="4E28C01F" w14:textId="77777777" w:rsidR="00313CBC" w:rsidRDefault="00313CBC" w:rsidP="007D484D">
      <w:pPr>
        <w:spacing w:after="0" w:line="240" w:lineRule="auto"/>
        <w:jc w:val="center"/>
        <w:rPr>
          <w:b/>
          <w:bCs/>
        </w:rPr>
      </w:pPr>
    </w:p>
    <w:p w14:paraId="4044191B" w14:textId="77777777" w:rsidR="00B7362C" w:rsidRDefault="00B7362C" w:rsidP="007D484D">
      <w:pPr>
        <w:spacing w:after="0" w:line="240" w:lineRule="auto"/>
        <w:jc w:val="center"/>
        <w:rPr>
          <w:b/>
          <w:bCs/>
        </w:rPr>
      </w:pPr>
    </w:p>
    <w:p w14:paraId="5519A524" w14:textId="77777777" w:rsidR="00B7362C" w:rsidRDefault="00B7362C" w:rsidP="007D484D">
      <w:pPr>
        <w:spacing w:after="0" w:line="240" w:lineRule="auto"/>
        <w:jc w:val="center"/>
        <w:rPr>
          <w:b/>
          <w:bCs/>
        </w:rPr>
      </w:pPr>
    </w:p>
    <w:p w14:paraId="00B5FF06" w14:textId="77777777" w:rsidR="00B7362C" w:rsidRDefault="00B7362C" w:rsidP="007D484D">
      <w:pPr>
        <w:spacing w:after="0" w:line="240" w:lineRule="auto"/>
        <w:jc w:val="center"/>
        <w:rPr>
          <w:b/>
          <w:bCs/>
        </w:rPr>
      </w:pPr>
    </w:p>
    <w:p w14:paraId="2147AEEE" w14:textId="77777777" w:rsidR="00B7362C" w:rsidRDefault="00B7362C" w:rsidP="007D484D">
      <w:pPr>
        <w:spacing w:after="0" w:line="240" w:lineRule="auto"/>
        <w:jc w:val="center"/>
        <w:rPr>
          <w:b/>
          <w:bCs/>
        </w:rPr>
      </w:pPr>
    </w:p>
    <w:p w14:paraId="0BE6067B" w14:textId="77777777" w:rsidR="00B7362C" w:rsidRDefault="00B7362C" w:rsidP="007D484D">
      <w:pPr>
        <w:spacing w:after="0" w:line="240" w:lineRule="auto"/>
        <w:jc w:val="center"/>
        <w:rPr>
          <w:b/>
          <w:bCs/>
        </w:rPr>
      </w:pPr>
    </w:p>
    <w:p w14:paraId="363DE02C" w14:textId="77777777" w:rsidR="00B7362C" w:rsidRDefault="00B7362C" w:rsidP="007D484D">
      <w:pPr>
        <w:spacing w:after="0" w:line="240" w:lineRule="auto"/>
        <w:jc w:val="center"/>
        <w:rPr>
          <w:b/>
          <w:bCs/>
        </w:rPr>
      </w:pPr>
    </w:p>
    <w:p w14:paraId="3A72CC41" w14:textId="77777777" w:rsidR="00B7362C" w:rsidRDefault="00B7362C" w:rsidP="007D484D">
      <w:pPr>
        <w:spacing w:after="0" w:line="240" w:lineRule="auto"/>
        <w:jc w:val="center"/>
        <w:rPr>
          <w:b/>
          <w:bCs/>
        </w:rPr>
      </w:pPr>
    </w:p>
    <w:p w14:paraId="2467473B" w14:textId="77777777" w:rsidR="00B7362C" w:rsidRDefault="00B7362C" w:rsidP="007D484D">
      <w:pPr>
        <w:spacing w:after="0" w:line="240" w:lineRule="auto"/>
        <w:jc w:val="center"/>
        <w:rPr>
          <w:b/>
          <w:bCs/>
        </w:rPr>
      </w:pPr>
    </w:p>
    <w:p w14:paraId="73BB4966" w14:textId="77777777" w:rsidR="00B7362C" w:rsidRDefault="00B7362C" w:rsidP="007D484D">
      <w:pPr>
        <w:spacing w:after="0" w:line="240" w:lineRule="auto"/>
        <w:jc w:val="center"/>
        <w:rPr>
          <w:b/>
          <w:bCs/>
        </w:rPr>
      </w:pPr>
    </w:p>
    <w:p w14:paraId="3DF43074" w14:textId="77777777" w:rsidR="00B7362C" w:rsidRDefault="00B7362C" w:rsidP="007D484D">
      <w:pPr>
        <w:spacing w:after="0" w:line="240" w:lineRule="auto"/>
        <w:jc w:val="center"/>
        <w:rPr>
          <w:b/>
          <w:bCs/>
        </w:rPr>
      </w:pPr>
    </w:p>
    <w:p w14:paraId="2C422311" w14:textId="77777777" w:rsidR="00B7362C" w:rsidRDefault="00B7362C" w:rsidP="007D484D">
      <w:pPr>
        <w:spacing w:after="0" w:line="240" w:lineRule="auto"/>
        <w:jc w:val="center"/>
        <w:rPr>
          <w:b/>
          <w:bCs/>
        </w:rPr>
      </w:pPr>
    </w:p>
    <w:p w14:paraId="05D83296" w14:textId="5BF39FB1" w:rsidR="000B4F69" w:rsidRDefault="00A75A38" w:rsidP="007D484D">
      <w:pPr>
        <w:spacing w:after="0" w:line="240" w:lineRule="auto"/>
        <w:jc w:val="center"/>
        <w:rPr>
          <w:b/>
          <w:bCs/>
        </w:rPr>
      </w:pPr>
      <w:r>
        <w:rPr>
          <w:b/>
          <w:bCs/>
        </w:rPr>
        <w:lastRenderedPageBreak/>
        <w:t>CCE Measure</w:t>
      </w:r>
      <w:r w:rsidRPr="00B4618A">
        <w:rPr>
          <w:b/>
          <w:bCs/>
        </w:rPr>
        <w:t xml:space="preserve"> Specifications</w:t>
      </w:r>
      <w:r>
        <w:rPr>
          <w:b/>
          <w:bCs/>
        </w:rPr>
        <w:t xml:space="preserve"> for</w:t>
      </w:r>
      <w:r w:rsidRPr="00CB35E1">
        <w:rPr>
          <w:b/>
          <w:bCs/>
        </w:rPr>
        <w:t xml:space="preserve"> </w:t>
      </w:r>
      <w:r>
        <w:rPr>
          <w:b/>
          <w:bCs/>
        </w:rPr>
        <w:t>Cardiovascular Disease SOW</w:t>
      </w:r>
      <w:r w:rsidRPr="005C2B34">
        <w:rPr>
          <w:b/>
          <w:bCs/>
        </w:rPr>
        <w:t>, effective</w:t>
      </w:r>
      <w:r w:rsidR="0091385F" w:rsidRPr="005C2B34">
        <w:rPr>
          <w:b/>
          <w:bCs/>
        </w:rPr>
        <w:t xml:space="preserve"> </w:t>
      </w:r>
      <w:r w:rsidR="008F17E0" w:rsidRPr="005C2B34">
        <w:rPr>
          <w:b/>
          <w:bCs/>
        </w:rPr>
        <w:t xml:space="preserve">June </w:t>
      </w:r>
      <w:r w:rsidR="002108C6" w:rsidRPr="005C2B34">
        <w:rPr>
          <w:b/>
          <w:bCs/>
        </w:rPr>
        <w:t>30</w:t>
      </w:r>
      <w:r w:rsidR="008F17E0" w:rsidRPr="005C2B34">
        <w:rPr>
          <w:b/>
          <w:bCs/>
        </w:rPr>
        <w:t>,2022</w:t>
      </w:r>
    </w:p>
    <w:tbl>
      <w:tblPr>
        <w:tblStyle w:val="TableGrid"/>
        <w:tblW w:w="0" w:type="auto"/>
        <w:tblLook w:val="04A0" w:firstRow="1" w:lastRow="0" w:firstColumn="1" w:lastColumn="0" w:noHBand="0" w:noVBand="1"/>
      </w:tblPr>
      <w:tblGrid>
        <w:gridCol w:w="2065"/>
        <w:gridCol w:w="7285"/>
      </w:tblGrid>
      <w:tr w:rsidR="00A75A38" w:rsidRPr="00B4618A" w14:paraId="798F9850" w14:textId="77777777" w:rsidTr="00BB3F55">
        <w:trPr>
          <w:trHeight w:val="750"/>
        </w:trPr>
        <w:tc>
          <w:tcPr>
            <w:tcW w:w="2065" w:type="dxa"/>
            <w:shd w:val="clear" w:color="auto" w:fill="D9E2F3" w:themeFill="accent1" w:themeFillTint="33"/>
            <w:hideMark/>
          </w:tcPr>
          <w:p w14:paraId="52195F03" w14:textId="77777777" w:rsidR="00A75A38" w:rsidRPr="00B4618A" w:rsidRDefault="00A75A38" w:rsidP="00BB3F55">
            <w:pPr>
              <w:rPr>
                <w:b/>
                <w:bCs/>
              </w:rPr>
            </w:pPr>
          </w:p>
        </w:tc>
        <w:tc>
          <w:tcPr>
            <w:tcW w:w="7285" w:type="dxa"/>
            <w:shd w:val="clear" w:color="auto" w:fill="D9E2F3" w:themeFill="accent1" w:themeFillTint="33"/>
          </w:tcPr>
          <w:p w14:paraId="325ECA9C" w14:textId="77777777" w:rsidR="00A75A38" w:rsidRPr="00B4618A" w:rsidRDefault="00A75A38" w:rsidP="00BB3F55">
            <w:r w:rsidRPr="00B4618A">
              <w:rPr>
                <w:b/>
                <w:bCs/>
              </w:rPr>
              <w:t>Elevated Blood Pressure without Hypertension Diagnosis:</w:t>
            </w:r>
          </w:p>
        </w:tc>
      </w:tr>
      <w:tr w:rsidR="00A75A38" w:rsidRPr="00B4618A" w14:paraId="538ED68B" w14:textId="77777777" w:rsidTr="00BB3F55">
        <w:trPr>
          <w:trHeight w:val="375"/>
        </w:trPr>
        <w:tc>
          <w:tcPr>
            <w:tcW w:w="2065" w:type="dxa"/>
            <w:hideMark/>
          </w:tcPr>
          <w:p w14:paraId="14D32682" w14:textId="77777777" w:rsidR="00A75A38" w:rsidRPr="00B4618A" w:rsidRDefault="00A75A38" w:rsidP="00BB3F55">
            <w:pPr>
              <w:rPr>
                <w:b/>
                <w:bCs/>
              </w:rPr>
            </w:pPr>
            <w:r w:rsidRPr="00B4618A">
              <w:rPr>
                <w:b/>
                <w:bCs/>
              </w:rPr>
              <w:t xml:space="preserve">Hiding in Plain Sight, </w:t>
            </w:r>
            <w:r>
              <w:rPr>
                <w:b/>
                <w:bCs/>
              </w:rPr>
              <w:t>S</w:t>
            </w:r>
            <w:r w:rsidRPr="00B4618A">
              <w:rPr>
                <w:b/>
                <w:bCs/>
              </w:rPr>
              <w:t>tep 1</w:t>
            </w:r>
          </w:p>
        </w:tc>
        <w:tc>
          <w:tcPr>
            <w:tcW w:w="7285" w:type="dxa"/>
            <w:hideMark/>
          </w:tcPr>
          <w:p w14:paraId="0378FD02" w14:textId="77777777" w:rsidR="00A75A38" w:rsidRPr="00B4618A" w:rsidRDefault="00A75A38" w:rsidP="00BB3F55">
            <w:pPr>
              <w:rPr>
                <w:b/>
                <w:bCs/>
              </w:rPr>
            </w:pPr>
          </w:p>
        </w:tc>
      </w:tr>
      <w:tr w:rsidR="00A00C4D" w:rsidRPr="00B4618A" w14:paraId="0ECA6721" w14:textId="77777777" w:rsidTr="00A00C4D">
        <w:trPr>
          <w:trHeight w:val="630"/>
        </w:trPr>
        <w:tc>
          <w:tcPr>
            <w:tcW w:w="2065" w:type="dxa"/>
            <w:hideMark/>
          </w:tcPr>
          <w:p w14:paraId="29C981C4" w14:textId="77777777" w:rsidR="00A00C4D" w:rsidRPr="00B4618A" w:rsidRDefault="00A00C4D" w:rsidP="00A00C4D">
            <w:pPr>
              <w:rPr>
                <w:b/>
                <w:bCs/>
              </w:rPr>
            </w:pPr>
            <w:r w:rsidRPr="00B4618A">
              <w:rPr>
                <w:b/>
                <w:bCs/>
              </w:rPr>
              <w:t>Measure Description</w:t>
            </w:r>
          </w:p>
        </w:tc>
        <w:tc>
          <w:tcPr>
            <w:tcW w:w="7285" w:type="dxa"/>
          </w:tcPr>
          <w:p w14:paraId="32840BEE" w14:textId="77777777" w:rsidR="00A00C4D" w:rsidRPr="00EE5809" w:rsidRDefault="00A00C4D" w:rsidP="00A00C4D">
            <w:pPr>
              <w:rPr>
                <w:rFonts w:cstheme="minorHAnsi"/>
              </w:rPr>
            </w:pPr>
            <w:r w:rsidRPr="008A5CDD">
              <w:rPr>
                <w:rFonts w:cstheme="minorHAnsi"/>
              </w:rPr>
              <w:t xml:space="preserve">Number of patients who do not have a diagnosis of hypertension with two or more blood pressure readings </w:t>
            </w:r>
            <w:r w:rsidRPr="00B7362C">
              <w:rPr>
                <w:rFonts w:cstheme="minorHAnsi"/>
                <w:u w:val="single"/>
              </w:rPr>
              <w:t xml:space="preserve">&gt; </w:t>
            </w:r>
            <w:r w:rsidRPr="00B7362C">
              <w:rPr>
                <w:rFonts w:cstheme="minorHAnsi"/>
              </w:rPr>
              <w:t>140 mmHg SBP and/or</w:t>
            </w:r>
            <w:r w:rsidRPr="00EE5809">
              <w:rPr>
                <w:rFonts w:cstheme="minorHAnsi"/>
                <w:u w:val="single"/>
              </w:rPr>
              <w:t xml:space="preserve"> &gt;</w:t>
            </w:r>
            <w:r w:rsidRPr="00EE5809">
              <w:rPr>
                <w:rFonts w:cstheme="minorHAnsi"/>
              </w:rPr>
              <w:t>90 mmHg DBP.</w:t>
            </w:r>
          </w:p>
        </w:tc>
      </w:tr>
      <w:tr w:rsidR="00A00C4D" w:rsidRPr="00B4618A" w14:paraId="3A6128D2" w14:textId="77777777" w:rsidTr="00BB3F55">
        <w:trPr>
          <w:trHeight w:val="945"/>
        </w:trPr>
        <w:tc>
          <w:tcPr>
            <w:tcW w:w="2065" w:type="dxa"/>
          </w:tcPr>
          <w:p w14:paraId="05E32346" w14:textId="77777777" w:rsidR="00A00C4D" w:rsidRPr="00B4618A" w:rsidRDefault="00A00C4D" w:rsidP="00A00C4D">
            <w:pPr>
              <w:rPr>
                <w:b/>
                <w:bCs/>
              </w:rPr>
            </w:pPr>
            <w:r>
              <w:rPr>
                <w:b/>
                <w:bCs/>
              </w:rPr>
              <w:t>Numerator</w:t>
            </w:r>
          </w:p>
        </w:tc>
        <w:tc>
          <w:tcPr>
            <w:tcW w:w="7285" w:type="dxa"/>
          </w:tcPr>
          <w:p w14:paraId="75CCF670" w14:textId="77777777" w:rsidR="00A00C4D" w:rsidRPr="00EE5809" w:rsidRDefault="00A00C4D" w:rsidP="00A00C4D">
            <w:pPr>
              <w:rPr>
                <w:rFonts w:cstheme="minorHAnsi"/>
              </w:rPr>
            </w:pPr>
            <w:r w:rsidRPr="00EE5809">
              <w:rPr>
                <w:rFonts w:cstheme="minorHAnsi"/>
                <w:sz w:val="21"/>
                <w:szCs w:val="21"/>
              </w:rPr>
              <w:t xml:space="preserve">Patients </w:t>
            </w:r>
            <w:r w:rsidRPr="008A5CDD">
              <w:rPr>
                <w:rFonts w:cstheme="minorHAnsi"/>
              </w:rPr>
              <w:t xml:space="preserve">who have systolic blood pressure &gt;140 mmHg and/or diastolic blood pressure &gt;90 mmHg at two </w:t>
            </w:r>
            <w:r w:rsidRPr="00B7362C">
              <w:rPr>
                <w:rFonts w:cstheme="minorHAnsi"/>
              </w:rPr>
              <w:t>separate medical visits, including the most recent visit, during the past 12 months.</w:t>
            </w:r>
          </w:p>
          <w:p w14:paraId="531727DD" w14:textId="77777777" w:rsidR="00A00C4D" w:rsidRPr="00EE5809" w:rsidRDefault="00A00C4D" w:rsidP="00A00C4D">
            <w:pPr>
              <w:rPr>
                <w:rFonts w:cstheme="minorHAnsi"/>
                <w:highlight w:val="yellow"/>
              </w:rPr>
            </w:pPr>
          </w:p>
        </w:tc>
      </w:tr>
      <w:tr w:rsidR="00A00C4D" w:rsidRPr="00B4618A" w14:paraId="4A83CBDE" w14:textId="77777777" w:rsidTr="00A00C4D">
        <w:trPr>
          <w:trHeight w:val="945"/>
        </w:trPr>
        <w:tc>
          <w:tcPr>
            <w:tcW w:w="2065" w:type="dxa"/>
            <w:hideMark/>
          </w:tcPr>
          <w:p w14:paraId="3C67CA78" w14:textId="77777777" w:rsidR="00A00C4D" w:rsidRPr="00B4618A" w:rsidRDefault="00A00C4D" w:rsidP="00A00C4D">
            <w:pPr>
              <w:rPr>
                <w:b/>
                <w:bCs/>
              </w:rPr>
            </w:pPr>
            <w:r>
              <w:rPr>
                <w:b/>
                <w:bCs/>
              </w:rPr>
              <w:t>Denominator</w:t>
            </w:r>
          </w:p>
        </w:tc>
        <w:tc>
          <w:tcPr>
            <w:tcW w:w="7285" w:type="dxa"/>
          </w:tcPr>
          <w:p w14:paraId="74CF30B0" w14:textId="5F192DD7" w:rsidR="00A00C4D" w:rsidRPr="00EE5809" w:rsidRDefault="00A00C4D" w:rsidP="00A00C4D">
            <w:pPr>
              <w:rPr>
                <w:rFonts w:cstheme="minorHAnsi"/>
                <w:sz w:val="21"/>
                <w:szCs w:val="21"/>
              </w:rPr>
            </w:pPr>
            <w:r w:rsidRPr="00EE5809">
              <w:rPr>
                <w:rFonts w:cstheme="minorHAnsi"/>
                <w:sz w:val="21"/>
                <w:szCs w:val="21"/>
              </w:rPr>
              <w:t xml:space="preserve">All patients </w:t>
            </w:r>
            <w:r w:rsidR="00A62C00" w:rsidRPr="00EE5809">
              <w:rPr>
                <w:rFonts w:cstheme="minorHAnsi"/>
                <w:sz w:val="21"/>
                <w:szCs w:val="21"/>
              </w:rPr>
              <w:t>aged</w:t>
            </w:r>
            <w:r w:rsidRPr="00EE5809">
              <w:rPr>
                <w:rFonts w:cstheme="minorHAnsi"/>
                <w:sz w:val="21"/>
                <w:szCs w:val="21"/>
              </w:rPr>
              <w:t xml:space="preserve"> 18-85 who do not have a hypertension diagnosis and had a medical visit in the last 12 months.</w:t>
            </w:r>
          </w:p>
          <w:p w14:paraId="4B8BBAA3" w14:textId="77777777" w:rsidR="00A00C4D" w:rsidRPr="008A5CDD" w:rsidRDefault="00A00C4D" w:rsidP="00A00C4D">
            <w:pPr>
              <w:rPr>
                <w:rFonts w:cstheme="minorHAnsi"/>
                <w:highlight w:val="yellow"/>
              </w:rPr>
            </w:pPr>
          </w:p>
        </w:tc>
      </w:tr>
      <w:tr w:rsidR="00A00C4D" w:rsidRPr="00B4618A" w14:paraId="16664531" w14:textId="77777777" w:rsidTr="00A00C4D">
        <w:trPr>
          <w:trHeight w:val="675"/>
        </w:trPr>
        <w:tc>
          <w:tcPr>
            <w:tcW w:w="2065" w:type="dxa"/>
            <w:hideMark/>
          </w:tcPr>
          <w:p w14:paraId="3D30D685" w14:textId="77777777" w:rsidR="00A00C4D" w:rsidRPr="00B4618A" w:rsidRDefault="00A00C4D" w:rsidP="00A00C4D">
            <w:pPr>
              <w:rPr>
                <w:b/>
                <w:bCs/>
              </w:rPr>
            </w:pPr>
            <w:r w:rsidRPr="00B4618A">
              <w:rPr>
                <w:b/>
                <w:bCs/>
              </w:rPr>
              <w:t xml:space="preserve"> Exclusions</w:t>
            </w:r>
          </w:p>
        </w:tc>
        <w:tc>
          <w:tcPr>
            <w:tcW w:w="7285" w:type="dxa"/>
          </w:tcPr>
          <w:p w14:paraId="15A2821D" w14:textId="77777777" w:rsidR="00A00C4D" w:rsidRPr="00B7362C" w:rsidRDefault="00A00C4D" w:rsidP="00A00C4D">
            <w:pPr>
              <w:rPr>
                <w:rFonts w:cstheme="minorHAnsi"/>
                <w:highlight w:val="yellow"/>
              </w:rPr>
            </w:pPr>
            <w:r w:rsidRPr="008A5CDD">
              <w:rPr>
                <w:rFonts w:cstheme="minorHAnsi"/>
              </w:rPr>
              <w:t>Pregnancy, end-stage renal dise</w:t>
            </w:r>
            <w:r w:rsidRPr="00B33C40">
              <w:rPr>
                <w:rFonts w:cstheme="minorHAnsi"/>
              </w:rPr>
              <w:t>ase (ESRD)</w:t>
            </w:r>
          </w:p>
        </w:tc>
      </w:tr>
      <w:tr w:rsidR="00A00C4D" w:rsidRPr="00B4618A" w14:paraId="61107F94" w14:textId="77777777" w:rsidTr="00BB3F55">
        <w:trPr>
          <w:trHeight w:val="300"/>
        </w:trPr>
        <w:tc>
          <w:tcPr>
            <w:tcW w:w="2065" w:type="dxa"/>
            <w:hideMark/>
          </w:tcPr>
          <w:p w14:paraId="6C79142F" w14:textId="77777777" w:rsidR="00A00C4D" w:rsidRPr="00B4618A" w:rsidRDefault="00A00C4D" w:rsidP="00A00C4D">
            <w:pPr>
              <w:rPr>
                <w:b/>
                <w:bCs/>
              </w:rPr>
            </w:pPr>
            <w:r w:rsidRPr="00B4618A">
              <w:rPr>
                <w:b/>
                <w:bCs/>
              </w:rPr>
              <w:t>Measure source</w:t>
            </w:r>
          </w:p>
        </w:tc>
        <w:tc>
          <w:tcPr>
            <w:tcW w:w="7285" w:type="dxa"/>
            <w:hideMark/>
          </w:tcPr>
          <w:p w14:paraId="7C082F6E" w14:textId="77777777" w:rsidR="00A00C4D" w:rsidRPr="00B4618A" w:rsidRDefault="00A00C4D" w:rsidP="00A00C4D">
            <w:r w:rsidRPr="00B4618A">
              <w:t xml:space="preserve">EHR </w:t>
            </w:r>
          </w:p>
        </w:tc>
      </w:tr>
      <w:tr w:rsidR="00A00C4D" w:rsidRPr="00B4618A" w14:paraId="633C1722" w14:textId="77777777" w:rsidTr="00BB3F55">
        <w:trPr>
          <w:trHeight w:val="945"/>
        </w:trPr>
        <w:tc>
          <w:tcPr>
            <w:tcW w:w="2065" w:type="dxa"/>
            <w:hideMark/>
          </w:tcPr>
          <w:p w14:paraId="50FB2AE7" w14:textId="77777777" w:rsidR="00A00C4D" w:rsidRPr="00B4618A" w:rsidRDefault="00A00C4D" w:rsidP="00A00C4D">
            <w:pPr>
              <w:rPr>
                <w:b/>
                <w:bCs/>
              </w:rPr>
            </w:pPr>
            <w:r w:rsidRPr="00B4618A">
              <w:rPr>
                <w:b/>
                <w:bCs/>
              </w:rPr>
              <w:t>Notes</w:t>
            </w:r>
          </w:p>
        </w:tc>
        <w:tc>
          <w:tcPr>
            <w:tcW w:w="7285" w:type="dxa"/>
            <w:hideMark/>
          </w:tcPr>
          <w:p w14:paraId="4EA9CD76" w14:textId="77777777" w:rsidR="00A00C4D" w:rsidRPr="00B4618A" w:rsidRDefault="00A00C4D" w:rsidP="00A00C4D">
            <w:r w:rsidRPr="00B4618A">
              <w:t>In addition to the data report, these specifications can be used to develop a list of patients who may have hypertension and be "Hiding In Plain Sight" (HIPS).  Practice should develop a process to review this cohort of patients and follow up as necessary to determine if they have hypertension.</w:t>
            </w:r>
          </w:p>
        </w:tc>
      </w:tr>
      <w:tr w:rsidR="00A00C4D" w:rsidRPr="00B4618A" w14:paraId="3B1F4621" w14:textId="77777777" w:rsidTr="00BB3F55">
        <w:trPr>
          <w:trHeight w:val="630"/>
        </w:trPr>
        <w:tc>
          <w:tcPr>
            <w:tcW w:w="2065" w:type="dxa"/>
            <w:hideMark/>
          </w:tcPr>
          <w:p w14:paraId="13506971" w14:textId="77777777" w:rsidR="00A00C4D" w:rsidRPr="00B4618A" w:rsidRDefault="00A00C4D" w:rsidP="00A00C4D">
            <w:pPr>
              <w:rPr>
                <w:b/>
                <w:bCs/>
              </w:rPr>
            </w:pPr>
            <w:r w:rsidRPr="00B4618A">
              <w:rPr>
                <w:b/>
                <w:bCs/>
              </w:rPr>
              <w:t>Additional Information</w:t>
            </w:r>
          </w:p>
        </w:tc>
        <w:tc>
          <w:tcPr>
            <w:tcW w:w="7285" w:type="dxa"/>
            <w:hideMark/>
          </w:tcPr>
          <w:p w14:paraId="0EE9D1B8" w14:textId="77777777" w:rsidR="00A00C4D" w:rsidRPr="00B4618A" w:rsidRDefault="00A00C4D" w:rsidP="00A00C4D">
            <w:r w:rsidRPr="00B4618A">
              <w:t>Hypertension Control Change Package for Clinicians</w:t>
            </w:r>
            <w:r w:rsidRPr="00B4618A">
              <w:rPr>
                <w:i/>
                <w:iCs/>
              </w:rPr>
              <w:t>.</w:t>
            </w:r>
            <w:r w:rsidRPr="00B4618A">
              <w:t xml:space="preserve"> A Million Hearts® Action Guide. Atlanta, Ga: Centers for Disease Control and Prevention, US Department of Health and Human Services. 2015.</w:t>
            </w:r>
          </w:p>
        </w:tc>
      </w:tr>
      <w:tr w:rsidR="00A00C4D" w:rsidRPr="00B4618A" w14:paraId="3E49EF19" w14:textId="77777777" w:rsidTr="00BB3F55">
        <w:trPr>
          <w:trHeight w:val="375"/>
        </w:trPr>
        <w:tc>
          <w:tcPr>
            <w:tcW w:w="2065" w:type="dxa"/>
            <w:hideMark/>
          </w:tcPr>
          <w:p w14:paraId="39D22200" w14:textId="77777777" w:rsidR="00A00C4D" w:rsidRPr="00B4618A" w:rsidRDefault="00A00C4D" w:rsidP="00A00C4D"/>
        </w:tc>
        <w:tc>
          <w:tcPr>
            <w:tcW w:w="7285" w:type="dxa"/>
            <w:hideMark/>
          </w:tcPr>
          <w:p w14:paraId="4D6F34D0" w14:textId="72208294" w:rsidR="00A00C4D" w:rsidRPr="00B4618A" w:rsidRDefault="002108C6" w:rsidP="00A00C4D">
            <w:r w:rsidRPr="00B4618A">
              <w:t>Million Hearts: Leveraging Health Information Technology (HIT), Quality Improvement (QI), and Primary Care Teams to Identify Hypertensive Patients Hiding in Plain Sight (HIPS). NACHC Million Hearts HIPS Change Package. National Association of Community Health Centers. 2015</w:t>
            </w:r>
          </w:p>
        </w:tc>
      </w:tr>
      <w:tr w:rsidR="002108C6" w:rsidRPr="00B4618A" w14:paraId="4B6EFCCB" w14:textId="77777777" w:rsidTr="00BB3F55">
        <w:trPr>
          <w:trHeight w:val="375"/>
        </w:trPr>
        <w:tc>
          <w:tcPr>
            <w:tcW w:w="2065" w:type="dxa"/>
          </w:tcPr>
          <w:p w14:paraId="31A5AA7E" w14:textId="606A5D8C" w:rsidR="002108C6" w:rsidRPr="00B4618A" w:rsidRDefault="002108C6" w:rsidP="00A00C4D">
            <w:r>
              <w:t>Changes from previous version</w:t>
            </w:r>
          </w:p>
        </w:tc>
        <w:tc>
          <w:tcPr>
            <w:tcW w:w="7285" w:type="dxa"/>
          </w:tcPr>
          <w:p w14:paraId="3B8A8076" w14:textId="603A83D1" w:rsidR="002108C6" w:rsidRPr="00B4618A" w:rsidRDefault="002108C6" w:rsidP="00A00C4D">
            <w:r>
              <w:t>NA</w:t>
            </w:r>
          </w:p>
        </w:tc>
      </w:tr>
      <w:tr w:rsidR="00A00C4D" w:rsidRPr="00B4618A" w14:paraId="7A841205" w14:textId="77777777" w:rsidTr="00BB3F55">
        <w:trPr>
          <w:trHeight w:val="945"/>
        </w:trPr>
        <w:tc>
          <w:tcPr>
            <w:tcW w:w="2065" w:type="dxa"/>
            <w:hideMark/>
          </w:tcPr>
          <w:p w14:paraId="35665C43" w14:textId="77777777" w:rsidR="00A00C4D" w:rsidRPr="00B4618A" w:rsidRDefault="00A00C4D" w:rsidP="00A00C4D"/>
        </w:tc>
        <w:tc>
          <w:tcPr>
            <w:tcW w:w="7285" w:type="dxa"/>
            <w:hideMark/>
          </w:tcPr>
          <w:p w14:paraId="32EE4970" w14:textId="4028A3CB" w:rsidR="00A00C4D" w:rsidRPr="00B4618A" w:rsidRDefault="00A00C4D" w:rsidP="00A00C4D"/>
        </w:tc>
      </w:tr>
    </w:tbl>
    <w:p w14:paraId="37B43CD5" w14:textId="77777777" w:rsidR="000B4F69" w:rsidRDefault="000B4F69" w:rsidP="004D491F">
      <w:pPr>
        <w:spacing w:after="0" w:line="240" w:lineRule="auto"/>
        <w:jc w:val="center"/>
        <w:rPr>
          <w:b/>
          <w:bCs/>
        </w:rPr>
      </w:pPr>
    </w:p>
    <w:p w14:paraId="188E8A54" w14:textId="77777777" w:rsidR="001B663F" w:rsidRPr="001B663F" w:rsidRDefault="000B415E" w:rsidP="001B663F">
      <w:pPr>
        <w:spacing w:after="0" w:line="240" w:lineRule="auto"/>
        <w:rPr>
          <w:bCs/>
        </w:rPr>
      </w:pPr>
      <w:r w:rsidRPr="000C7EC1">
        <w:rPr>
          <w:i/>
        </w:rPr>
        <w:lastRenderedPageBreak/>
        <w:t xml:space="preserve">Screenshot </w:t>
      </w:r>
      <w:r>
        <w:rPr>
          <w:i/>
        </w:rPr>
        <w:t>of</w:t>
      </w:r>
      <w:r w:rsidRPr="000C7EC1">
        <w:rPr>
          <w:i/>
        </w:rPr>
        <w:t xml:space="preserve"> Form </w:t>
      </w:r>
      <w:r>
        <w:rPr>
          <w:i/>
        </w:rPr>
        <w:t>used to submit Measure Data</w:t>
      </w:r>
      <w:r>
        <w:rPr>
          <w:noProof/>
        </w:rPr>
        <w:t xml:space="preserve"> </w:t>
      </w:r>
      <w:r w:rsidR="001B663F">
        <w:rPr>
          <w:noProof/>
        </w:rPr>
        <w:drawing>
          <wp:inline distT="0" distB="0" distL="0" distR="0" wp14:anchorId="4F2506C3" wp14:editId="67CBDE0F">
            <wp:extent cx="5943600" cy="3171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171825"/>
                    </a:xfrm>
                    <a:prstGeom prst="rect">
                      <a:avLst/>
                    </a:prstGeom>
                  </pic:spPr>
                </pic:pic>
              </a:graphicData>
            </a:graphic>
          </wp:inline>
        </w:drawing>
      </w:r>
    </w:p>
    <w:p w14:paraId="2F5D6EEA" w14:textId="77777777" w:rsidR="000B4F69" w:rsidRDefault="000B4F69" w:rsidP="004D491F">
      <w:pPr>
        <w:spacing w:after="0" w:line="240" w:lineRule="auto"/>
        <w:jc w:val="center"/>
        <w:rPr>
          <w:b/>
          <w:bCs/>
        </w:rPr>
      </w:pPr>
    </w:p>
    <w:p w14:paraId="2E74DBE7" w14:textId="77777777" w:rsidR="000B4F69" w:rsidRDefault="000B4F69" w:rsidP="004D491F">
      <w:pPr>
        <w:spacing w:after="0" w:line="240" w:lineRule="auto"/>
        <w:jc w:val="center"/>
        <w:rPr>
          <w:b/>
          <w:bCs/>
        </w:rPr>
      </w:pPr>
    </w:p>
    <w:p w14:paraId="5424FF0A" w14:textId="77777777" w:rsidR="000B4F69" w:rsidRDefault="000B4F69" w:rsidP="004D491F">
      <w:pPr>
        <w:spacing w:after="0" w:line="240" w:lineRule="auto"/>
        <w:jc w:val="center"/>
        <w:rPr>
          <w:b/>
          <w:bCs/>
        </w:rPr>
      </w:pPr>
    </w:p>
    <w:p w14:paraId="2A58FF78" w14:textId="77777777" w:rsidR="00B25520" w:rsidRDefault="00B25520" w:rsidP="004D491F">
      <w:pPr>
        <w:spacing w:after="0" w:line="240" w:lineRule="auto"/>
        <w:jc w:val="center"/>
        <w:rPr>
          <w:b/>
          <w:bCs/>
        </w:rPr>
      </w:pPr>
    </w:p>
    <w:p w14:paraId="334D7A75" w14:textId="77777777" w:rsidR="00B25520" w:rsidRDefault="00B25520" w:rsidP="004D491F">
      <w:pPr>
        <w:spacing w:after="0" w:line="240" w:lineRule="auto"/>
        <w:jc w:val="center"/>
        <w:rPr>
          <w:b/>
          <w:bCs/>
        </w:rPr>
      </w:pPr>
    </w:p>
    <w:p w14:paraId="3E5FA881" w14:textId="77777777" w:rsidR="00B25520" w:rsidRDefault="00B25520" w:rsidP="004D491F">
      <w:pPr>
        <w:spacing w:after="0" w:line="240" w:lineRule="auto"/>
        <w:jc w:val="center"/>
        <w:rPr>
          <w:b/>
          <w:bCs/>
        </w:rPr>
      </w:pPr>
    </w:p>
    <w:p w14:paraId="76D03A12" w14:textId="77777777" w:rsidR="00B25520" w:rsidRDefault="00B25520" w:rsidP="004D491F">
      <w:pPr>
        <w:spacing w:after="0" w:line="240" w:lineRule="auto"/>
        <w:jc w:val="center"/>
        <w:rPr>
          <w:b/>
          <w:bCs/>
        </w:rPr>
      </w:pPr>
    </w:p>
    <w:p w14:paraId="2D50C33F" w14:textId="77777777" w:rsidR="00B25520" w:rsidRDefault="00B25520" w:rsidP="004D491F">
      <w:pPr>
        <w:spacing w:after="0" w:line="240" w:lineRule="auto"/>
        <w:jc w:val="center"/>
        <w:rPr>
          <w:b/>
          <w:bCs/>
        </w:rPr>
      </w:pPr>
    </w:p>
    <w:p w14:paraId="0E5F015C" w14:textId="684FFA22" w:rsidR="00B25520" w:rsidRDefault="00B25520" w:rsidP="004D491F">
      <w:pPr>
        <w:spacing w:after="0" w:line="240" w:lineRule="auto"/>
        <w:jc w:val="center"/>
        <w:rPr>
          <w:b/>
          <w:bCs/>
        </w:rPr>
      </w:pPr>
    </w:p>
    <w:p w14:paraId="5F3BC756" w14:textId="135B180B" w:rsidR="008F17E0" w:rsidRDefault="008F17E0" w:rsidP="004D491F">
      <w:pPr>
        <w:spacing w:after="0" w:line="240" w:lineRule="auto"/>
        <w:jc w:val="center"/>
        <w:rPr>
          <w:b/>
          <w:bCs/>
        </w:rPr>
      </w:pPr>
    </w:p>
    <w:p w14:paraId="28B623C2" w14:textId="6E868112" w:rsidR="008F17E0" w:rsidRDefault="008F17E0" w:rsidP="004D491F">
      <w:pPr>
        <w:spacing w:after="0" w:line="240" w:lineRule="auto"/>
        <w:jc w:val="center"/>
        <w:rPr>
          <w:b/>
          <w:bCs/>
        </w:rPr>
      </w:pPr>
    </w:p>
    <w:p w14:paraId="39128733" w14:textId="16D98C84" w:rsidR="008F17E0" w:rsidRDefault="008F17E0" w:rsidP="004D491F">
      <w:pPr>
        <w:spacing w:after="0" w:line="240" w:lineRule="auto"/>
        <w:jc w:val="center"/>
        <w:rPr>
          <w:b/>
          <w:bCs/>
        </w:rPr>
      </w:pPr>
    </w:p>
    <w:p w14:paraId="32F06764" w14:textId="4BBB2D16" w:rsidR="008F17E0" w:rsidRDefault="008F17E0" w:rsidP="004D491F">
      <w:pPr>
        <w:spacing w:after="0" w:line="240" w:lineRule="auto"/>
        <w:jc w:val="center"/>
        <w:rPr>
          <w:b/>
          <w:bCs/>
        </w:rPr>
      </w:pPr>
    </w:p>
    <w:p w14:paraId="66BD82F3" w14:textId="0F559BF1" w:rsidR="008F17E0" w:rsidRDefault="008F17E0" w:rsidP="004D491F">
      <w:pPr>
        <w:spacing w:after="0" w:line="240" w:lineRule="auto"/>
        <w:jc w:val="center"/>
        <w:rPr>
          <w:b/>
          <w:bCs/>
        </w:rPr>
      </w:pPr>
    </w:p>
    <w:p w14:paraId="624C2319" w14:textId="1DEB58EA" w:rsidR="008F17E0" w:rsidRDefault="008F17E0" w:rsidP="004D491F">
      <w:pPr>
        <w:spacing w:after="0" w:line="240" w:lineRule="auto"/>
        <w:jc w:val="center"/>
        <w:rPr>
          <w:b/>
          <w:bCs/>
        </w:rPr>
      </w:pPr>
    </w:p>
    <w:p w14:paraId="68BED2E3" w14:textId="7BAD2C0C" w:rsidR="008F17E0" w:rsidRDefault="008F17E0" w:rsidP="004D491F">
      <w:pPr>
        <w:spacing w:after="0" w:line="240" w:lineRule="auto"/>
        <w:jc w:val="center"/>
        <w:rPr>
          <w:b/>
          <w:bCs/>
        </w:rPr>
      </w:pPr>
    </w:p>
    <w:p w14:paraId="3D7FC38B" w14:textId="697D76A6" w:rsidR="008F17E0" w:rsidRDefault="008F17E0" w:rsidP="004D491F">
      <w:pPr>
        <w:spacing w:after="0" w:line="240" w:lineRule="auto"/>
        <w:jc w:val="center"/>
        <w:rPr>
          <w:b/>
          <w:bCs/>
        </w:rPr>
      </w:pPr>
    </w:p>
    <w:p w14:paraId="0D3D9F44" w14:textId="1013A8D5" w:rsidR="008F17E0" w:rsidRDefault="008F17E0" w:rsidP="004D491F">
      <w:pPr>
        <w:spacing w:after="0" w:line="240" w:lineRule="auto"/>
        <w:jc w:val="center"/>
        <w:rPr>
          <w:b/>
          <w:bCs/>
        </w:rPr>
      </w:pPr>
    </w:p>
    <w:p w14:paraId="5D409E89" w14:textId="130EDF97" w:rsidR="008F17E0" w:rsidRDefault="008F17E0" w:rsidP="004D491F">
      <w:pPr>
        <w:spacing w:after="0" w:line="240" w:lineRule="auto"/>
        <w:jc w:val="center"/>
        <w:rPr>
          <w:b/>
          <w:bCs/>
        </w:rPr>
      </w:pPr>
    </w:p>
    <w:p w14:paraId="45F24875" w14:textId="77777777" w:rsidR="008F17E0" w:rsidRDefault="008F17E0" w:rsidP="00BC3852">
      <w:pPr>
        <w:spacing w:after="0" w:line="240" w:lineRule="auto"/>
        <w:rPr>
          <w:b/>
          <w:bCs/>
        </w:rPr>
      </w:pPr>
    </w:p>
    <w:p w14:paraId="7B0398C6" w14:textId="77777777" w:rsidR="008F17E0" w:rsidRDefault="008F17E0" w:rsidP="00805CA2">
      <w:pPr>
        <w:spacing w:after="0" w:line="240" w:lineRule="auto"/>
        <w:jc w:val="center"/>
        <w:rPr>
          <w:b/>
          <w:bCs/>
        </w:rPr>
      </w:pPr>
    </w:p>
    <w:p w14:paraId="7142C085" w14:textId="77777777" w:rsidR="008F17E0" w:rsidRDefault="008F17E0" w:rsidP="00BC3852">
      <w:pPr>
        <w:spacing w:after="0" w:line="240" w:lineRule="auto"/>
        <w:rPr>
          <w:b/>
          <w:bCs/>
        </w:rPr>
      </w:pPr>
    </w:p>
    <w:p w14:paraId="4D5D8408" w14:textId="77777777" w:rsidR="008F17E0" w:rsidRDefault="008F17E0" w:rsidP="00805CA2">
      <w:pPr>
        <w:spacing w:after="0" w:line="240" w:lineRule="auto"/>
        <w:jc w:val="center"/>
        <w:rPr>
          <w:b/>
          <w:bCs/>
        </w:rPr>
      </w:pPr>
    </w:p>
    <w:p w14:paraId="489C2031" w14:textId="77777777" w:rsidR="008F17E0" w:rsidRDefault="008F17E0" w:rsidP="00805CA2">
      <w:pPr>
        <w:spacing w:after="0" w:line="240" w:lineRule="auto"/>
        <w:jc w:val="center"/>
        <w:rPr>
          <w:b/>
          <w:bCs/>
        </w:rPr>
      </w:pPr>
    </w:p>
    <w:p w14:paraId="07E22897" w14:textId="6A2C62AB" w:rsidR="008F17E0" w:rsidRDefault="008F17E0" w:rsidP="00BC3852">
      <w:pPr>
        <w:spacing w:after="0" w:line="240" w:lineRule="auto"/>
        <w:rPr>
          <w:b/>
          <w:bCs/>
        </w:rPr>
      </w:pPr>
    </w:p>
    <w:p w14:paraId="3389712F" w14:textId="3AC7E9BF" w:rsidR="008F17E0" w:rsidRDefault="008F17E0" w:rsidP="00805CA2">
      <w:pPr>
        <w:spacing w:after="0" w:line="240" w:lineRule="auto"/>
        <w:jc w:val="center"/>
        <w:rPr>
          <w:b/>
          <w:bCs/>
        </w:rPr>
      </w:pPr>
    </w:p>
    <w:p w14:paraId="7C388902" w14:textId="1ACDD79B" w:rsidR="004D491F" w:rsidRDefault="00C83F74" w:rsidP="007E7287">
      <w:pPr>
        <w:spacing w:after="0" w:line="240" w:lineRule="auto"/>
        <w:jc w:val="center"/>
        <w:rPr>
          <w:b/>
          <w:bCs/>
        </w:rPr>
      </w:pPr>
      <w:r>
        <w:rPr>
          <w:b/>
          <w:bCs/>
        </w:rPr>
        <w:t>CCE Measure</w:t>
      </w:r>
      <w:r w:rsidR="001064EA" w:rsidRPr="00B4618A">
        <w:rPr>
          <w:b/>
          <w:bCs/>
        </w:rPr>
        <w:t xml:space="preserve"> Specifications</w:t>
      </w:r>
      <w:r w:rsidR="00D24A2D" w:rsidRPr="00D24A2D">
        <w:rPr>
          <w:b/>
          <w:bCs/>
        </w:rPr>
        <w:t xml:space="preserve"> </w:t>
      </w:r>
      <w:r w:rsidR="00D24A2D">
        <w:rPr>
          <w:b/>
          <w:bCs/>
        </w:rPr>
        <w:t>for SMBP SOW</w:t>
      </w:r>
      <w:r w:rsidR="001064EA" w:rsidRPr="00B4618A">
        <w:rPr>
          <w:b/>
          <w:bCs/>
        </w:rPr>
        <w:t>, effective</w:t>
      </w:r>
      <w:r w:rsidR="008F17E0">
        <w:rPr>
          <w:b/>
          <w:bCs/>
        </w:rPr>
        <w:t xml:space="preserve"> </w:t>
      </w:r>
      <w:r w:rsidR="008F17E0" w:rsidRPr="005C2B34">
        <w:rPr>
          <w:b/>
          <w:bCs/>
        </w:rPr>
        <w:t xml:space="preserve">June </w:t>
      </w:r>
      <w:r w:rsidR="002108C6" w:rsidRPr="005C2B34">
        <w:rPr>
          <w:b/>
          <w:bCs/>
        </w:rPr>
        <w:t>30</w:t>
      </w:r>
      <w:r w:rsidR="008F17E0" w:rsidRPr="005C2B34">
        <w:rPr>
          <w:b/>
          <w:bCs/>
        </w:rPr>
        <w:t>,2022</w:t>
      </w:r>
    </w:p>
    <w:tbl>
      <w:tblPr>
        <w:tblStyle w:val="TableGrid"/>
        <w:tblW w:w="0" w:type="auto"/>
        <w:tblLook w:val="04A0" w:firstRow="1" w:lastRow="0" w:firstColumn="1" w:lastColumn="0" w:noHBand="0" w:noVBand="1"/>
      </w:tblPr>
      <w:tblGrid>
        <w:gridCol w:w="2065"/>
        <w:gridCol w:w="7285"/>
      </w:tblGrid>
      <w:tr w:rsidR="00EA5A05" w:rsidRPr="00B4618A" w14:paraId="19837E17" w14:textId="77777777" w:rsidTr="00727A27">
        <w:trPr>
          <w:trHeight w:val="750"/>
        </w:trPr>
        <w:tc>
          <w:tcPr>
            <w:tcW w:w="2065" w:type="dxa"/>
            <w:shd w:val="clear" w:color="auto" w:fill="D9E2F3" w:themeFill="accent1" w:themeFillTint="33"/>
            <w:hideMark/>
          </w:tcPr>
          <w:p w14:paraId="1FED05DE" w14:textId="77777777" w:rsidR="00EA5A05" w:rsidRPr="00B4618A" w:rsidRDefault="00EA5A05" w:rsidP="004D491F">
            <w:pPr>
              <w:rPr>
                <w:b/>
                <w:bCs/>
              </w:rPr>
            </w:pPr>
          </w:p>
        </w:tc>
        <w:tc>
          <w:tcPr>
            <w:tcW w:w="7285" w:type="dxa"/>
            <w:shd w:val="clear" w:color="auto" w:fill="D9E2F3" w:themeFill="accent1" w:themeFillTint="33"/>
            <w:hideMark/>
          </w:tcPr>
          <w:p w14:paraId="6306DE1A" w14:textId="77777777" w:rsidR="00EA5A05" w:rsidRPr="00B4618A" w:rsidRDefault="00EA5A05" w:rsidP="004D491F">
            <w:r w:rsidRPr="00B4618A">
              <w:rPr>
                <w:b/>
                <w:bCs/>
              </w:rPr>
              <w:t>SMBP: Patient Submission of Blood Pressure Readings</w:t>
            </w:r>
          </w:p>
        </w:tc>
      </w:tr>
      <w:tr w:rsidR="00EA5A05" w:rsidRPr="00D6433D" w14:paraId="27B5F125" w14:textId="77777777" w:rsidTr="00727A27">
        <w:trPr>
          <w:trHeight w:val="945"/>
        </w:trPr>
        <w:tc>
          <w:tcPr>
            <w:tcW w:w="2065" w:type="dxa"/>
            <w:hideMark/>
          </w:tcPr>
          <w:p w14:paraId="6488E862" w14:textId="77777777" w:rsidR="00EA5A05" w:rsidRPr="00B4618A" w:rsidRDefault="00EA5A05" w:rsidP="004D491F">
            <w:pPr>
              <w:rPr>
                <w:b/>
                <w:bCs/>
              </w:rPr>
            </w:pPr>
            <w:r w:rsidRPr="00B4618A">
              <w:rPr>
                <w:b/>
                <w:bCs/>
              </w:rPr>
              <w:t>Measure Description</w:t>
            </w:r>
          </w:p>
        </w:tc>
        <w:tc>
          <w:tcPr>
            <w:tcW w:w="7285" w:type="dxa"/>
            <w:hideMark/>
          </w:tcPr>
          <w:p w14:paraId="7347E1FF" w14:textId="77777777" w:rsidR="00EA5A05" w:rsidRPr="00D6433D" w:rsidRDefault="00EA5A05" w:rsidP="004D491F">
            <w:pPr>
              <w:rPr>
                <w:rFonts w:ascii="Calibri" w:hAnsi="Calibri"/>
                <w:color w:val="000000"/>
              </w:rPr>
            </w:pPr>
            <w:r>
              <w:rPr>
                <w:rFonts w:ascii="Calibri" w:hAnsi="Calibri"/>
                <w:color w:val="000000"/>
              </w:rPr>
              <w:t>Percent of patients with a diagnosis of hypertension who were advised by their provider to Self-Measure Blood Pressure (SMBP), and who have submitted their blood pressure readings to their provider at least once during the measurement period</w:t>
            </w:r>
          </w:p>
        </w:tc>
      </w:tr>
      <w:tr w:rsidR="00EA5A05" w:rsidRPr="00B4618A" w14:paraId="48FB1964" w14:textId="77777777" w:rsidTr="00727A27">
        <w:trPr>
          <w:trHeight w:val="630"/>
        </w:trPr>
        <w:tc>
          <w:tcPr>
            <w:tcW w:w="2065" w:type="dxa"/>
            <w:hideMark/>
          </w:tcPr>
          <w:p w14:paraId="09F0D583" w14:textId="77777777" w:rsidR="00EA5A05" w:rsidRPr="00B4618A" w:rsidRDefault="00EA5A05" w:rsidP="004D491F">
            <w:pPr>
              <w:rPr>
                <w:b/>
                <w:bCs/>
              </w:rPr>
            </w:pPr>
            <w:r w:rsidRPr="00B4618A">
              <w:rPr>
                <w:b/>
                <w:bCs/>
              </w:rPr>
              <w:t>Numerator</w:t>
            </w:r>
          </w:p>
        </w:tc>
        <w:tc>
          <w:tcPr>
            <w:tcW w:w="7285" w:type="dxa"/>
            <w:hideMark/>
          </w:tcPr>
          <w:p w14:paraId="773BB77C" w14:textId="77777777" w:rsidR="00EA5A05" w:rsidRPr="00B4618A" w:rsidRDefault="00EA5A05" w:rsidP="004D491F">
            <w:r w:rsidRPr="00B4618A">
              <w:t xml:space="preserve">Patients in the denominator who communicate blood pressure reading(s) to their providers’ office at least once during the past 12 months. </w:t>
            </w:r>
          </w:p>
        </w:tc>
      </w:tr>
      <w:tr w:rsidR="00EA5A05" w:rsidRPr="00B4618A" w14:paraId="4D2B2F7A" w14:textId="77777777" w:rsidTr="00727A27">
        <w:trPr>
          <w:trHeight w:val="630"/>
        </w:trPr>
        <w:tc>
          <w:tcPr>
            <w:tcW w:w="2065" w:type="dxa"/>
            <w:hideMark/>
          </w:tcPr>
          <w:p w14:paraId="6409E938" w14:textId="77777777" w:rsidR="00EA5A05" w:rsidRPr="00B4618A" w:rsidRDefault="00EA5A05" w:rsidP="004D491F">
            <w:pPr>
              <w:rPr>
                <w:b/>
                <w:bCs/>
              </w:rPr>
            </w:pPr>
            <w:r w:rsidRPr="00B4618A">
              <w:rPr>
                <w:b/>
                <w:bCs/>
              </w:rPr>
              <w:t>Denominator</w:t>
            </w:r>
          </w:p>
        </w:tc>
        <w:tc>
          <w:tcPr>
            <w:tcW w:w="7285" w:type="dxa"/>
            <w:hideMark/>
          </w:tcPr>
          <w:p w14:paraId="6B44E5A7" w14:textId="77777777" w:rsidR="00EA5A05" w:rsidRPr="00B4618A" w:rsidRDefault="00EA5A05" w:rsidP="004D491F">
            <w:r w:rsidRPr="00B4618A">
              <w:t xml:space="preserve">Active patients* 18 years of age or older with hypertension (or suspected hypertension) who were seen during the last 12 months and who have a documented plan to self-measure their blood pressure. </w:t>
            </w:r>
          </w:p>
        </w:tc>
      </w:tr>
      <w:tr w:rsidR="00EA5A05" w:rsidRPr="00B4618A" w14:paraId="195BDE24" w14:textId="77777777" w:rsidTr="00727A27">
        <w:trPr>
          <w:trHeight w:val="375"/>
        </w:trPr>
        <w:tc>
          <w:tcPr>
            <w:tcW w:w="2065" w:type="dxa"/>
            <w:hideMark/>
          </w:tcPr>
          <w:p w14:paraId="0CC9463F" w14:textId="77777777" w:rsidR="00EA5A05" w:rsidRPr="00B4618A" w:rsidRDefault="00EA5A05" w:rsidP="004D491F"/>
        </w:tc>
        <w:tc>
          <w:tcPr>
            <w:tcW w:w="7285" w:type="dxa"/>
            <w:hideMark/>
          </w:tcPr>
          <w:p w14:paraId="20989A15" w14:textId="61103729" w:rsidR="00EA5A05" w:rsidRPr="00B4618A" w:rsidRDefault="00EA5A05" w:rsidP="004D491F">
            <w:r w:rsidRPr="00B4618A">
              <w:t>ICD-10 codes:  I10</w:t>
            </w:r>
          </w:p>
        </w:tc>
      </w:tr>
      <w:tr w:rsidR="00EA5A05" w:rsidRPr="00B4618A" w14:paraId="7C9DDEB4" w14:textId="77777777" w:rsidTr="00727A27">
        <w:trPr>
          <w:trHeight w:val="375"/>
        </w:trPr>
        <w:tc>
          <w:tcPr>
            <w:tcW w:w="2065" w:type="dxa"/>
            <w:hideMark/>
          </w:tcPr>
          <w:p w14:paraId="7465BBA1" w14:textId="77777777" w:rsidR="00EA5A05" w:rsidRPr="00B4618A" w:rsidRDefault="00EA5A05" w:rsidP="004D491F">
            <w:pPr>
              <w:rPr>
                <w:b/>
                <w:bCs/>
              </w:rPr>
            </w:pPr>
            <w:r w:rsidRPr="00B4618A">
              <w:rPr>
                <w:b/>
                <w:bCs/>
              </w:rPr>
              <w:t>Denominator Exclusions</w:t>
            </w:r>
          </w:p>
        </w:tc>
        <w:tc>
          <w:tcPr>
            <w:tcW w:w="7285" w:type="dxa"/>
            <w:hideMark/>
          </w:tcPr>
          <w:p w14:paraId="7DDC044C" w14:textId="77777777" w:rsidR="00EA5A05" w:rsidRPr="00B4618A" w:rsidRDefault="00EA5A05" w:rsidP="004D491F">
            <w:r w:rsidRPr="00B4618A">
              <w:t>Patients less than 18 years of age</w:t>
            </w:r>
          </w:p>
        </w:tc>
      </w:tr>
      <w:tr w:rsidR="00EA5A05" w:rsidRPr="00B4618A" w14:paraId="54030F14" w14:textId="77777777" w:rsidTr="00727A27">
        <w:trPr>
          <w:trHeight w:val="375"/>
        </w:trPr>
        <w:tc>
          <w:tcPr>
            <w:tcW w:w="2065" w:type="dxa"/>
            <w:hideMark/>
          </w:tcPr>
          <w:p w14:paraId="4F758C69" w14:textId="77777777" w:rsidR="00EA5A05" w:rsidRPr="00B4618A" w:rsidRDefault="00EA5A05" w:rsidP="004D491F">
            <w:pPr>
              <w:rPr>
                <w:b/>
                <w:bCs/>
              </w:rPr>
            </w:pPr>
            <w:r w:rsidRPr="00B4618A">
              <w:rPr>
                <w:b/>
                <w:bCs/>
              </w:rPr>
              <w:t>Measure source</w:t>
            </w:r>
          </w:p>
        </w:tc>
        <w:tc>
          <w:tcPr>
            <w:tcW w:w="7285" w:type="dxa"/>
            <w:hideMark/>
          </w:tcPr>
          <w:p w14:paraId="6B987D12" w14:textId="77777777" w:rsidR="00EA5A05" w:rsidRPr="00B4618A" w:rsidRDefault="00EA5A05" w:rsidP="004D491F">
            <w:r w:rsidRPr="00B4618A">
              <w:t xml:space="preserve">EHR </w:t>
            </w:r>
          </w:p>
        </w:tc>
      </w:tr>
      <w:tr w:rsidR="00EA5A05" w:rsidRPr="00B4618A" w14:paraId="5CAF17D3" w14:textId="77777777" w:rsidTr="00727A27">
        <w:trPr>
          <w:trHeight w:val="945"/>
        </w:trPr>
        <w:tc>
          <w:tcPr>
            <w:tcW w:w="2065" w:type="dxa"/>
            <w:hideMark/>
          </w:tcPr>
          <w:p w14:paraId="14664FB4" w14:textId="77777777" w:rsidR="00EA5A05" w:rsidRPr="00B4618A" w:rsidRDefault="00EA5A05" w:rsidP="004D491F">
            <w:pPr>
              <w:rPr>
                <w:b/>
                <w:bCs/>
              </w:rPr>
            </w:pPr>
            <w:r w:rsidRPr="00B4618A">
              <w:rPr>
                <w:b/>
                <w:bCs/>
              </w:rPr>
              <w:t>Additional Information</w:t>
            </w:r>
          </w:p>
        </w:tc>
        <w:tc>
          <w:tcPr>
            <w:tcW w:w="7285" w:type="dxa"/>
            <w:hideMark/>
          </w:tcPr>
          <w:p w14:paraId="340C7346" w14:textId="77777777" w:rsidR="00EA5A05" w:rsidRPr="00B4618A" w:rsidRDefault="00EA5A05" w:rsidP="004D491F">
            <w:r w:rsidRPr="00B4618A">
              <w:t xml:space="preserve">Million Hearts® </w:t>
            </w:r>
            <w:r w:rsidRPr="00B4618A">
              <w:rPr>
                <w:i/>
                <w:iCs/>
              </w:rPr>
              <w:t>Self-Measured Blood Pressure Monitoring, Action Steps for Clinicians.</w:t>
            </w:r>
            <w:r w:rsidRPr="00B4618A">
              <w:t xml:space="preserve"> A Million Hearts® Action Guide. Atlanta, Ga: Centers for Disease Control and Prevention, US Department of Health and Human Services. 2014. </w:t>
            </w:r>
          </w:p>
        </w:tc>
      </w:tr>
      <w:tr w:rsidR="002108C6" w:rsidRPr="00B4618A" w14:paraId="156E7B2E" w14:textId="77777777" w:rsidTr="00727A27">
        <w:trPr>
          <w:trHeight w:val="945"/>
        </w:trPr>
        <w:tc>
          <w:tcPr>
            <w:tcW w:w="2065" w:type="dxa"/>
          </w:tcPr>
          <w:p w14:paraId="4FED16E0" w14:textId="6FF4B44E" w:rsidR="002108C6" w:rsidRPr="00B4618A" w:rsidRDefault="002108C6" w:rsidP="004D491F">
            <w:pPr>
              <w:rPr>
                <w:b/>
                <w:bCs/>
              </w:rPr>
            </w:pPr>
            <w:r>
              <w:rPr>
                <w:b/>
                <w:bCs/>
              </w:rPr>
              <w:t>Changes from previous version</w:t>
            </w:r>
          </w:p>
        </w:tc>
        <w:tc>
          <w:tcPr>
            <w:tcW w:w="7285" w:type="dxa"/>
          </w:tcPr>
          <w:p w14:paraId="559377F9" w14:textId="75BB0C6E" w:rsidR="002108C6" w:rsidRPr="00B4618A" w:rsidRDefault="002108C6" w:rsidP="004D491F">
            <w:r>
              <w:t>NA</w:t>
            </w:r>
          </w:p>
        </w:tc>
      </w:tr>
    </w:tbl>
    <w:p w14:paraId="4431D9DC" w14:textId="77777777" w:rsidR="00EA5A05" w:rsidRDefault="00EA5A05" w:rsidP="004D491F">
      <w:pPr>
        <w:spacing w:after="0" w:line="240" w:lineRule="auto"/>
      </w:pPr>
    </w:p>
    <w:p w14:paraId="69916E4B" w14:textId="77777777" w:rsidR="00B9156E" w:rsidRDefault="000B415E" w:rsidP="004D491F">
      <w:pPr>
        <w:spacing w:after="0" w:line="240" w:lineRule="auto"/>
      </w:pPr>
      <w:r w:rsidRPr="000C7EC1">
        <w:rPr>
          <w:i/>
        </w:rPr>
        <w:lastRenderedPageBreak/>
        <w:t xml:space="preserve">Screenshot </w:t>
      </w:r>
      <w:r>
        <w:rPr>
          <w:i/>
        </w:rPr>
        <w:t>of</w:t>
      </w:r>
      <w:r w:rsidRPr="000C7EC1">
        <w:rPr>
          <w:i/>
        </w:rPr>
        <w:t xml:space="preserve"> Form </w:t>
      </w:r>
      <w:r>
        <w:rPr>
          <w:i/>
        </w:rPr>
        <w:t>used to submit Measure Data</w:t>
      </w:r>
      <w:r>
        <w:rPr>
          <w:noProof/>
        </w:rPr>
        <w:t xml:space="preserve"> </w:t>
      </w:r>
      <w:r w:rsidR="00B9156E">
        <w:rPr>
          <w:noProof/>
        </w:rPr>
        <w:drawing>
          <wp:inline distT="0" distB="0" distL="0" distR="0" wp14:anchorId="3119EB4C" wp14:editId="7D73D73A">
            <wp:extent cx="5943600" cy="2905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905125"/>
                    </a:xfrm>
                    <a:prstGeom prst="rect">
                      <a:avLst/>
                    </a:prstGeom>
                  </pic:spPr>
                </pic:pic>
              </a:graphicData>
            </a:graphic>
          </wp:inline>
        </w:drawing>
      </w:r>
    </w:p>
    <w:p w14:paraId="0B412CEF" w14:textId="77777777" w:rsidR="001064EA" w:rsidRDefault="001064EA" w:rsidP="004D491F">
      <w:pPr>
        <w:spacing w:after="0" w:line="240" w:lineRule="auto"/>
      </w:pPr>
    </w:p>
    <w:sectPr w:rsidR="001064E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48D3" w14:textId="77777777" w:rsidR="001B464E" w:rsidRDefault="001B464E" w:rsidP="00850A59">
      <w:pPr>
        <w:spacing w:after="0" w:line="240" w:lineRule="auto"/>
      </w:pPr>
      <w:r>
        <w:separator/>
      </w:r>
    </w:p>
  </w:endnote>
  <w:endnote w:type="continuationSeparator" w:id="0">
    <w:p w14:paraId="3C5CF26D" w14:textId="77777777" w:rsidR="001B464E" w:rsidRDefault="001B464E" w:rsidP="0085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64498"/>
      <w:docPartObj>
        <w:docPartGallery w:val="Page Numbers (Bottom of Page)"/>
        <w:docPartUnique/>
      </w:docPartObj>
    </w:sdtPr>
    <w:sdtEndPr>
      <w:rPr>
        <w:noProof/>
      </w:rPr>
    </w:sdtEndPr>
    <w:sdtContent>
      <w:p w14:paraId="20C9BEB6" w14:textId="77777777" w:rsidR="002A1148" w:rsidRDefault="002A1148">
        <w:pPr>
          <w:pStyle w:val="Footer"/>
          <w:jc w:val="center"/>
        </w:pPr>
        <w:r>
          <w:fldChar w:fldCharType="begin"/>
        </w:r>
        <w:r>
          <w:instrText xml:space="preserve"> PAGE   \* MERGEFORMAT </w:instrText>
        </w:r>
        <w:r>
          <w:fldChar w:fldCharType="separate"/>
        </w:r>
        <w:r w:rsidR="00B72CB9">
          <w:rPr>
            <w:noProof/>
          </w:rPr>
          <w:t>4</w:t>
        </w:r>
        <w:r>
          <w:rPr>
            <w:noProof/>
          </w:rPr>
          <w:fldChar w:fldCharType="end"/>
        </w:r>
      </w:p>
    </w:sdtContent>
  </w:sdt>
  <w:p w14:paraId="76A608A8" w14:textId="77777777" w:rsidR="002A1148" w:rsidRDefault="002A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0B3B" w14:textId="77777777" w:rsidR="001B464E" w:rsidRDefault="001B464E" w:rsidP="00850A59">
      <w:pPr>
        <w:spacing w:after="0" w:line="240" w:lineRule="auto"/>
      </w:pPr>
      <w:r>
        <w:separator/>
      </w:r>
    </w:p>
  </w:footnote>
  <w:footnote w:type="continuationSeparator" w:id="0">
    <w:p w14:paraId="594F6484" w14:textId="77777777" w:rsidR="001B464E" w:rsidRDefault="001B464E" w:rsidP="0085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2C09" w14:textId="77777777" w:rsidR="00286E97" w:rsidRDefault="005F0D07" w:rsidP="005F0D07">
    <w:pPr>
      <w:pStyle w:val="Header"/>
      <w:jc w:val="center"/>
    </w:pPr>
    <w:r>
      <w:rPr>
        <w:noProof/>
      </w:rPr>
      <w:drawing>
        <wp:inline distT="0" distB="0" distL="0" distR="0" wp14:anchorId="11037D4B" wp14:editId="34044994">
          <wp:extent cx="684143" cy="6667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2895" cy="675280"/>
                  </a:xfrm>
                  <a:prstGeom prst="rect">
                    <a:avLst/>
                  </a:prstGeom>
                </pic:spPr>
              </pic:pic>
            </a:graphicData>
          </a:graphic>
        </wp:inline>
      </w:drawing>
    </w:r>
  </w:p>
  <w:p w14:paraId="11FE59E5" w14:textId="286B4265" w:rsidR="005F0D07" w:rsidRDefault="005F0D07" w:rsidP="005F0D07">
    <w:pPr>
      <w:pStyle w:val="Header"/>
      <w:jc w:val="center"/>
      <w:rPr>
        <w:b/>
        <w:sz w:val="24"/>
      </w:rPr>
    </w:pPr>
    <w:r w:rsidRPr="005F0D07">
      <w:rPr>
        <w:b/>
        <w:sz w:val="24"/>
      </w:rPr>
      <w:t>Care + Community + Equity</w:t>
    </w:r>
  </w:p>
  <w:p w14:paraId="35DEF81B" w14:textId="7EA7FF04" w:rsidR="009F213F" w:rsidRPr="005F0D07" w:rsidRDefault="009F213F" w:rsidP="005F0D07">
    <w:pPr>
      <w:pStyle w:val="Header"/>
      <w:jc w:val="center"/>
      <w:rPr>
        <w:b/>
        <w:sz w:val="24"/>
      </w:rPr>
    </w:pPr>
    <w:r>
      <w:rPr>
        <w:b/>
        <w:sz w:val="24"/>
      </w:rPr>
      <w:t>Overarching Principles and Definitions</w:t>
    </w:r>
  </w:p>
  <w:p w14:paraId="65CB6D26" w14:textId="77777777" w:rsidR="00452D5E" w:rsidRDefault="00452D5E" w:rsidP="00850A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59D"/>
    <w:multiLevelType w:val="hybridMultilevel"/>
    <w:tmpl w:val="5F8C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85655"/>
    <w:multiLevelType w:val="hybridMultilevel"/>
    <w:tmpl w:val="5F8C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D33F9"/>
    <w:multiLevelType w:val="hybridMultilevel"/>
    <w:tmpl w:val="73586EF0"/>
    <w:lvl w:ilvl="0" w:tplc="8DEE80E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19EA"/>
    <w:multiLevelType w:val="hybridMultilevel"/>
    <w:tmpl w:val="C0F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EE"/>
    <w:multiLevelType w:val="hybridMultilevel"/>
    <w:tmpl w:val="FEC8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238C6"/>
    <w:multiLevelType w:val="hybridMultilevel"/>
    <w:tmpl w:val="5F8C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A7"/>
    <w:rsid w:val="00001935"/>
    <w:rsid w:val="000110C7"/>
    <w:rsid w:val="0002240E"/>
    <w:rsid w:val="0003215A"/>
    <w:rsid w:val="00035AD2"/>
    <w:rsid w:val="00037606"/>
    <w:rsid w:val="00041F0B"/>
    <w:rsid w:val="00065565"/>
    <w:rsid w:val="0008392E"/>
    <w:rsid w:val="00085D62"/>
    <w:rsid w:val="0008714B"/>
    <w:rsid w:val="00096255"/>
    <w:rsid w:val="000A0DFB"/>
    <w:rsid w:val="000A7DFC"/>
    <w:rsid w:val="000B3CE0"/>
    <w:rsid w:val="000B415E"/>
    <w:rsid w:val="000B4EA5"/>
    <w:rsid w:val="000B4F69"/>
    <w:rsid w:val="000C7EC1"/>
    <w:rsid w:val="000D017E"/>
    <w:rsid w:val="000D1D64"/>
    <w:rsid w:val="000E01DE"/>
    <w:rsid w:val="000E62FE"/>
    <w:rsid w:val="000F3D13"/>
    <w:rsid w:val="001064EA"/>
    <w:rsid w:val="0010690A"/>
    <w:rsid w:val="00130548"/>
    <w:rsid w:val="0013078F"/>
    <w:rsid w:val="001326A7"/>
    <w:rsid w:val="0016358C"/>
    <w:rsid w:val="00180BAB"/>
    <w:rsid w:val="00182BC1"/>
    <w:rsid w:val="0019089A"/>
    <w:rsid w:val="001A5BD6"/>
    <w:rsid w:val="001B464E"/>
    <w:rsid w:val="001B663F"/>
    <w:rsid w:val="001C0477"/>
    <w:rsid w:val="001E4052"/>
    <w:rsid w:val="001F1A7F"/>
    <w:rsid w:val="00206E56"/>
    <w:rsid w:val="00210720"/>
    <w:rsid w:val="002108C6"/>
    <w:rsid w:val="00221E46"/>
    <w:rsid w:val="00286E97"/>
    <w:rsid w:val="002A1148"/>
    <w:rsid w:val="002A1CBF"/>
    <w:rsid w:val="002C7B8F"/>
    <w:rsid w:val="002E1738"/>
    <w:rsid w:val="002E4ECB"/>
    <w:rsid w:val="002F2AE1"/>
    <w:rsid w:val="003075AD"/>
    <w:rsid w:val="00313CBC"/>
    <w:rsid w:val="0033210E"/>
    <w:rsid w:val="00334529"/>
    <w:rsid w:val="00340431"/>
    <w:rsid w:val="00375136"/>
    <w:rsid w:val="00380B24"/>
    <w:rsid w:val="003849C5"/>
    <w:rsid w:val="00386E38"/>
    <w:rsid w:val="00396EBF"/>
    <w:rsid w:val="003D732B"/>
    <w:rsid w:val="003E53A0"/>
    <w:rsid w:val="003E68C4"/>
    <w:rsid w:val="003F03A6"/>
    <w:rsid w:val="003F4D6D"/>
    <w:rsid w:val="0040719C"/>
    <w:rsid w:val="00422776"/>
    <w:rsid w:val="00440CE9"/>
    <w:rsid w:val="00442C2C"/>
    <w:rsid w:val="00445A99"/>
    <w:rsid w:val="00452D5E"/>
    <w:rsid w:val="004962F1"/>
    <w:rsid w:val="004B0822"/>
    <w:rsid w:val="004B4E55"/>
    <w:rsid w:val="004D079A"/>
    <w:rsid w:val="004D0C92"/>
    <w:rsid w:val="004D491F"/>
    <w:rsid w:val="004D551A"/>
    <w:rsid w:val="004E10F1"/>
    <w:rsid w:val="00540252"/>
    <w:rsid w:val="00547877"/>
    <w:rsid w:val="00550CA7"/>
    <w:rsid w:val="00566808"/>
    <w:rsid w:val="005752C7"/>
    <w:rsid w:val="00597EBB"/>
    <w:rsid w:val="005A161F"/>
    <w:rsid w:val="005A4260"/>
    <w:rsid w:val="005B1671"/>
    <w:rsid w:val="005C2B34"/>
    <w:rsid w:val="005F0D07"/>
    <w:rsid w:val="00604DF7"/>
    <w:rsid w:val="006128B7"/>
    <w:rsid w:val="006201B6"/>
    <w:rsid w:val="00632BFE"/>
    <w:rsid w:val="00657AB2"/>
    <w:rsid w:val="00660E17"/>
    <w:rsid w:val="006645F7"/>
    <w:rsid w:val="0068405F"/>
    <w:rsid w:val="00687485"/>
    <w:rsid w:val="00687EE7"/>
    <w:rsid w:val="0069155D"/>
    <w:rsid w:val="006B130B"/>
    <w:rsid w:val="006B2EEB"/>
    <w:rsid w:val="006B6A28"/>
    <w:rsid w:val="006D06AA"/>
    <w:rsid w:val="006E081A"/>
    <w:rsid w:val="006E16B1"/>
    <w:rsid w:val="006E49AA"/>
    <w:rsid w:val="006F6EFC"/>
    <w:rsid w:val="0071498C"/>
    <w:rsid w:val="00772644"/>
    <w:rsid w:val="00780A09"/>
    <w:rsid w:val="00785E25"/>
    <w:rsid w:val="00787594"/>
    <w:rsid w:val="00794685"/>
    <w:rsid w:val="007B22DB"/>
    <w:rsid w:val="007C0468"/>
    <w:rsid w:val="007C1B55"/>
    <w:rsid w:val="007D1A16"/>
    <w:rsid w:val="007D484D"/>
    <w:rsid w:val="007E7287"/>
    <w:rsid w:val="00805CA2"/>
    <w:rsid w:val="0080624D"/>
    <w:rsid w:val="00816E59"/>
    <w:rsid w:val="008230A8"/>
    <w:rsid w:val="00825EC4"/>
    <w:rsid w:val="008375FF"/>
    <w:rsid w:val="00850A59"/>
    <w:rsid w:val="00882B55"/>
    <w:rsid w:val="008A2E0C"/>
    <w:rsid w:val="008A557A"/>
    <w:rsid w:val="008A5CDD"/>
    <w:rsid w:val="008B2C58"/>
    <w:rsid w:val="008B457B"/>
    <w:rsid w:val="008C444D"/>
    <w:rsid w:val="008D6840"/>
    <w:rsid w:val="008E24EA"/>
    <w:rsid w:val="008F17E0"/>
    <w:rsid w:val="008F3841"/>
    <w:rsid w:val="008F38E6"/>
    <w:rsid w:val="009108D5"/>
    <w:rsid w:val="0091385F"/>
    <w:rsid w:val="00915FD3"/>
    <w:rsid w:val="00916138"/>
    <w:rsid w:val="0091789A"/>
    <w:rsid w:val="00920CED"/>
    <w:rsid w:val="00921E40"/>
    <w:rsid w:val="00934F13"/>
    <w:rsid w:val="0095034C"/>
    <w:rsid w:val="00952069"/>
    <w:rsid w:val="009533A5"/>
    <w:rsid w:val="009618F8"/>
    <w:rsid w:val="009662E7"/>
    <w:rsid w:val="00972777"/>
    <w:rsid w:val="00973E72"/>
    <w:rsid w:val="00990033"/>
    <w:rsid w:val="009A4C9C"/>
    <w:rsid w:val="009B00BD"/>
    <w:rsid w:val="009E01CB"/>
    <w:rsid w:val="009E7D6C"/>
    <w:rsid w:val="009F213F"/>
    <w:rsid w:val="00A00C4D"/>
    <w:rsid w:val="00A206E9"/>
    <w:rsid w:val="00A20741"/>
    <w:rsid w:val="00A26EAA"/>
    <w:rsid w:val="00A34183"/>
    <w:rsid w:val="00A42BFE"/>
    <w:rsid w:val="00A62C00"/>
    <w:rsid w:val="00A676FE"/>
    <w:rsid w:val="00A75A38"/>
    <w:rsid w:val="00A82EF9"/>
    <w:rsid w:val="00A84AE8"/>
    <w:rsid w:val="00A853EB"/>
    <w:rsid w:val="00A92BFE"/>
    <w:rsid w:val="00AB6E20"/>
    <w:rsid w:val="00AC1641"/>
    <w:rsid w:val="00AC5923"/>
    <w:rsid w:val="00AD7A94"/>
    <w:rsid w:val="00AE0983"/>
    <w:rsid w:val="00AE3F1B"/>
    <w:rsid w:val="00AE6A8A"/>
    <w:rsid w:val="00AE7579"/>
    <w:rsid w:val="00B032B0"/>
    <w:rsid w:val="00B05154"/>
    <w:rsid w:val="00B109F0"/>
    <w:rsid w:val="00B12CB5"/>
    <w:rsid w:val="00B221A0"/>
    <w:rsid w:val="00B25520"/>
    <w:rsid w:val="00B33C40"/>
    <w:rsid w:val="00B3641E"/>
    <w:rsid w:val="00B422CE"/>
    <w:rsid w:val="00B42E74"/>
    <w:rsid w:val="00B4329F"/>
    <w:rsid w:val="00B435DC"/>
    <w:rsid w:val="00B45597"/>
    <w:rsid w:val="00B57856"/>
    <w:rsid w:val="00B71ED6"/>
    <w:rsid w:val="00B72CB9"/>
    <w:rsid w:val="00B7362C"/>
    <w:rsid w:val="00B8426D"/>
    <w:rsid w:val="00B9156E"/>
    <w:rsid w:val="00B9749B"/>
    <w:rsid w:val="00BB1717"/>
    <w:rsid w:val="00BC3852"/>
    <w:rsid w:val="00BD7441"/>
    <w:rsid w:val="00BE1206"/>
    <w:rsid w:val="00BE1F28"/>
    <w:rsid w:val="00BF023C"/>
    <w:rsid w:val="00BF49EB"/>
    <w:rsid w:val="00C07863"/>
    <w:rsid w:val="00C17477"/>
    <w:rsid w:val="00C20B85"/>
    <w:rsid w:val="00C35E0C"/>
    <w:rsid w:val="00C40245"/>
    <w:rsid w:val="00C5101B"/>
    <w:rsid w:val="00C526E4"/>
    <w:rsid w:val="00C54D0B"/>
    <w:rsid w:val="00C6111B"/>
    <w:rsid w:val="00C70DC2"/>
    <w:rsid w:val="00C74A45"/>
    <w:rsid w:val="00C7538B"/>
    <w:rsid w:val="00C8096F"/>
    <w:rsid w:val="00C83F74"/>
    <w:rsid w:val="00C84B2E"/>
    <w:rsid w:val="00CB2297"/>
    <w:rsid w:val="00CB35E1"/>
    <w:rsid w:val="00CB3F54"/>
    <w:rsid w:val="00CD1C50"/>
    <w:rsid w:val="00CD1D7A"/>
    <w:rsid w:val="00CE264E"/>
    <w:rsid w:val="00D135DF"/>
    <w:rsid w:val="00D24A2D"/>
    <w:rsid w:val="00D42A6C"/>
    <w:rsid w:val="00D44BEF"/>
    <w:rsid w:val="00D54DC2"/>
    <w:rsid w:val="00D61B84"/>
    <w:rsid w:val="00D644BF"/>
    <w:rsid w:val="00D937FB"/>
    <w:rsid w:val="00D93B12"/>
    <w:rsid w:val="00DA1F65"/>
    <w:rsid w:val="00DA2067"/>
    <w:rsid w:val="00DA6B40"/>
    <w:rsid w:val="00DB6577"/>
    <w:rsid w:val="00DC140C"/>
    <w:rsid w:val="00E02155"/>
    <w:rsid w:val="00E27243"/>
    <w:rsid w:val="00E33FA5"/>
    <w:rsid w:val="00E517BD"/>
    <w:rsid w:val="00E525EE"/>
    <w:rsid w:val="00E60DF2"/>
    <w:rsid w:val="00E6593E"/>
    <w:rsid w:val="00E702E3"/>
    <w:rsid w:val="00E7790B"/>
    <w:rsid w:val="00E81A58"/>
    <w:rsid w:val="00EA5A05"/>
    <w:rsid w:val="00EB2661"/>
    <w:rsid w:val="00EB7AF3"/>
    <w:rsid w:val="00EE3F57"/>
    <w:rsid w:val="00EE5809"/>
    <w:rsid w:val="00EE5D4A"/>
    <w:rsid w:val="00EF45C4"/>
    <w:rsid w:val="00EF6580"/>
    <w:rsid w:val="00EF6C00"/>
    <w:rsid w:val="00F20472"/>
    <w:rsid w:val="00F275C6"/>
    <w:rsid w:val="00F44D87"/>
    <w:rsid w:val="00F60E56"/>
    <w:rsid w:val="00F67BE2"/>
    <w:rsid w:val="00F901F2"/>
    <w:rsid w:val="00FA41EC"/>
    <w:rsid w:val="00FD5558"/>
    <w:rsid w:val="00FE088D"/>
    <w:rsid w:val="00FE5694"/>
    <w:rsid w:val="185B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056A"/>
  <w15:chartTrackingRefBased/>
  <w15:docId w15:val="{915EB256-3D53-4D5F-9762-DAFE6B95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260"/>
    <w:rPr>
      <w:color w:val="0563C1"/>
      <w:u w:val="single"/>
    </w:rPr>
  </w:style>
  <w:style w:type="paragraph" w:styleId="BalloonText">
    <w:name w:val="Balloon Text"/>
    <w:basedOn w:val="Normal"/>
    <w:link w:val="BalloonTextChar"/>
    <w:uiPriority w:val="99"/>
    <w:semiHidden/>
    <w:unhideWhenUsed/>
    <w:rsid w:val="00E77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0B"/>
    <w:rPr>
      <w:rFonts w:ascii="Segoe UI" w:hAnsi="Segoe UI" w:cs="Segoe UI"/>
      <w:sz w:val="18"/>
      <w:szCs w:val="18"/>
    </w:rPr>
  </w:style>
  <w:style w:type="paragraph" w:styleId="Header">
    <w:name w:val="header"/>
    <w:basedOn w:val="Normal"/>
    <w:link w:val="HeaderChar"/>
    <w:uiPriority w:val="99"/>
    <w:unhideWhenUsed/>
    <w:rsid w:val="0085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59"/>
  </w:style>
  <w:style w:type="paragraph" w:styleId="Footer">
    <w:name w:val="footer"/>
    <w:basedOn w:val="Normal"/>
    <w:link w:val="FooterChar"/>
    <w:uiPriority w:val="99"/>
    <w:unhideWhenUsed/>
    <w:rsid w:val="0085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59"/>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C20B85"/>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C20B85"/>
  </w:style>
  <w:style w:type="paragraph" w:customStyle="1" w:styleId="Default">
    <w:name w:val="Default"/>
    <w:rsid w:val="001326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Title">
    <w:name w:val="TOC Title"/>
    <w:basedOn w:val="Normal"/>
    <w:qFormat/>
    <w:rsid w:val="000E62FE"/>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0E62FE"/>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0E62FE"/>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0E62FE"/>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0E62FE"/>
    <w:pPr>
      <w:spacing w:after="100"/>
    </w:pPr>
  </w:style>
  <w:style w:type="paragraph" w:styleId="TOC2">
    <w:name w:val="toc 2"/>
    <w:basedOn w:val="Normal"/>
    <w:next w:val="Normal"/>
    <w:autoRedefine/>
    <w:uiPriority w:val="39"/>
    <w:semiHidden/>
    <w:unhideWhenUsed/>
    <w:rsid w:val="000E62FE"/>
    <w:pPr>
      <w:spacing w:after="100"/>
      <w:ind w:left="220"/>
    </w:pPr>
  </w:style>
  <w:style w:type="paragraph" w:styleId="TOC3">
    <w:name w:val="toc 3"/>
    <w:basedOn w:val="Normal"/>
    <w:next w:val="Normal"/>
    <w:autoRedefine/>
    <w:uiPriority w:val="39"/>
    <w:semiHidden/>
    <w:unhideWhenUsed/>
    <w:rsid w:val="000E62FE"/>
    <w:pPr>
      <w:spacing w:after="100"/>
      <w:ind w:left="440"/>
    </w:pPr>
  </w:style>
  <w:style w:type="character" w:styleId="UnresolvedMention">
    <w:name w:val="Unresolved Mention"/>
    <w:basedOn w:val="DefaultParagraphFont"/>
    <w:uiPriority w:val="99"/>
    <w:semiHidden/>
    <w:unhideWhenUsed/>
    <w:rsid w:val="00A26EAA"/>
    <w:rPr>
      <w:color w:val="605E5C"/>
      <w:shd w:val="clear" w:color="auto" w:fill="E1DFDD"/>
    </w:rPr>
  </w:style>
  <w:style w:type="character" w:styleId="CommentReference">
    <w:name w:val="annotation reference"/>
    <w:basedOn w:val="DefaultParagraphFont"/>
    <w:uiPriority w:val="99"/>
    <w:semiHidden/>
    <w:unhideWhenUsed/>
    <w:rsid w:val="00AE3F1B"/>
    <w:rPr>
      <w:sz w:val="16"/>
      <w:szCs w:val="16"/>
    </w:rPr>
  </w:style>
  <w:style w:type="paragraph" w:styleId="CommentText">
    <w:name w:val="annotation text"/>
    <w:basedOn w:val="Normal"/>
    <w:link w:val="CommentTextChar"/>
    <w:uiPriority w:val="99"/>
    <w:semiHidden/>
    <w:unhideWhenUsed/>
    <w:rsid w:val="00AE3F1B"/>
    <w:pPr>
      <w:spacing w:line="240" w:lineRule="auto"/>
    </w:pPr>
    <w:rPr>
      <w:sz w:val="20"/>
      <w:szCs w:val="20"/>
    </w:rPr>
  </w:style>
  <w:style w:type="character" w:customStyle="1" w:styleId="CommentTextChar">
    <w:name w:val="Comment Text Char"/>
    <w:basedOn w:val="DefaultParagraphFont"/>
    <w:link w:val="CommentText"/>
    <w:uiPriority w:val="99"/>
    <w:semiHidden/>
    <w:rsid w:val="00AE3F1B"/>
    <w:rPr>
      <w:sz w:val="20"/>
      <w:szCs w:val="20"/>
    </w:rPr>
  </w:style>
  <w:style w:type="paragraph" w:styleId="CommentSubject">
    <w:name w:val="annotation subject"/>
    <w:basedOn w:val="CommentText"/>
    <w:next w:val="CommentText"/>
    <w:link w:val="CommentSubjectChar"/>
    <w:uiPriority w:val="99"/>
    <w:semiHidden/>
    <w:unhideWhenUsed/>
    <w:rsid w:val="00AE3F1B"/>
    <w:rPr>
      <w:b/>
      <w:bCs/>
    </w:rPr>
  </w:style>
  <w:style w:type="character" w:customStyle="1" w:styleId="CommentSubjectChar">
    <w:name w:val="Comment Subject Char"/>
    <w:basedOn w:val="CommentTextChar"/>
    <w:link w:val="CommentSubject"/>
    <w:uiPriority w:val="99"/>
    <w:semiHidden/>
    <w:rsid w:val="00AE3F1B"/>
    <w:rPr>
      <w:b/>
      <w:bCs/>
      <w:sz w:val="20"/>
      <w:szCs w:val="20"/>
    </w:rPr>
  </w:style>
  <w:style w:type="character" w:styleId="FollowedHyperlink">
    <w:name w:val="FollowedHyperlink"/>
    <w:basedOn w:val="DefaultParagraphFont"/>
    <w:uiPriority w:val="99"/>
    <w:semiHidden/>
    <w:unhideWhenUsed/>
    <w:rsid w:val="00F67BE2"/>
    <w:rPr>
      <w:color w:val="954F72" w:themeColor="followedHyperlink"/>
      <w:u w:val="single"/>
    </w:rPr>
  </w:style>
  <w:style w:type="paragraph" w:styleId="NormalWeb">
    <w:name w:val="Normal (Web)"/>
    <w:basedOn w:val="Normal"/>
    <w:uiPriority w:val="99"/>
    <w:semiHidden/>
    <w:unhideWhenUsed/>
    <w:rsid w:val="008C4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60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0DF2"/>
  </w:style>
  <w:style w:type="character" w:customStyle="1" w:styleId="eop">
    <w:name w:val="eop"/>
    <w:basedOn w:val="DefaultParagraphFont"/>
    <w:rsid w:val="00E6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813">
      <w:bodyDiv w:val="1"/>
      <w:marLeft w:val="0"/>
      <w:marRight w:val="0"/>
      <w:marTop w:val="0"/>
      <w:marBottom w:val="0"/>
      <w:divBdr>
        <w:top w:val="none" w:sz="0" w:space="0" w:color="auto"/>
        <w:left w:val="none" w:sz="0" w:space="0" w:color="auto"/>
        <w:bottom w:val="none" w:sz="0" w:space="0" w:color="auto"/>
        <w:right w:val="none" w:sz="0" w:space="0" w:color="auto"/>
      </w:divBdr>
    </w:div>
    <w:div w:id="202641466">
      <w:bodyDiv w:val="1"/>
      <w:marLeft w:val="0"/>
      <w:marRight w:val="0"/>
      <w:marTop w:val="0"/>
      <w:marBottom w:val="0"/>
      <w:divBdr>
        <w:top w:val="none" w:sz="0" w:space="0" w:color="auto"/>
        <w:left w:val="none" w:sz="0" w:space="0" w:color="auto"/>
        <w:bottom w:val="none" w:sz="0" w:space="0" w:color="auto"/>
        <w:right w:val="none" w:sz="0" w:space="0" w:color="auto"/>
      </w:divBdr>
    </w:div>
    <w:div w:id="360938742">
      <w:bodyDiv w:val="1"/>
      <w:marLeft w:val="0"/>
      <w:marRight w:val="0"/>
      <w:marTop w:val="0"/>
      <w:marBottom w:val="0"/>
      <w:divBdr>
        <w:top w:val="none" w:sz="0" w:space="0" w:color="auto"/>
        <w:left w:val="none" w:sz="0" w:space="0" w:color="auto"/>
        <w:bottom w:val="none" w:sz="0" w:space="0" w:color="auto"/>
        <w:right w:val="none" w:sz="0" w:space="0" w:color="auto"/>
      </w:divBdr>
    </w:div>
    <w:div w:id="558174596">
      <w:bodyDiv w:val="1"/>
      <w:marLeft w:val="0"/>
      <w:marRight w:val="0"/>
      <w:marTop w:val="0"/>
      <w:marBottom w:val="0"/>
      <w:divBdr>
        <w:top w:val="none" w:sz="0" w:space="0" w:color="auto"/>
        <w:left w:val="none" w:sz="0" w:space="0" w:color="auto"/>
        <w:bottom w:val="none" w:sz="0" w:space="0" w:color="auto"/>
        <w:right w:val="none" w:sz="0" w:space="0" w:color="auto"/>
      </w:divBdr>
      <w:divsChild>
        <w:div w:id="1014962689">
          <w:marLeft w:val="0"/>
          <w:marRight w:val="0"/>
          <w:marTop w:val="0"/>
          <w:marBottom w:val="0"/>
          <w:divBdr>
            <w:top w:val="none" w:sz="0" w:space="0" w:color="auto"/>
            <w:left w:val="none" w:sz="0" w:space="0" w:color="auto"/>
            <w:bottom w:val="none" w:sz="0" w:space="0" w:color="auto"/>
            <w:right w:val="none" w:sz="0" w:space="0" w:color="auto"/>
          </w:divBdr>
        </w:div>
        <w:div w:id="380906286">
          <w:marLeft w:val="0"/>
          <w:marRight w:val="0"/>
          <w:marTop w:val="0"/>
          <w:marBottom w:val="0"/>
          <w:divBdr>
            <w:top w:val="none" w:sz="0" w:space="0" w:color="auto"/>
            <w:left w:val="none" w:sz="0" w:space="0" w:color="auto"/>
            <w:bottom w:val="none" w:sz="0" w:space="0" w:color="auto"/>
            <w:right w:val="none" w:sz="0" w:space="0" w:color="auto"/>
          </w:divBdr>
        </w:div>
      </w:divsChild>
    </w:div>
    <w:div w:id="578566436">
      <w:bodyDiv w:val="1"/>
      <w:marLeft w:val="0"/>
      <w:marRight w:val="0"/>
      <w:marTop w:val="0"/>
      <w:marBottom w:val="0"/>
      <w:divBdr>
        <w:top w:val="none" w:sz="0" w:space="0" w:color="auto"/>
        <w:left w:val="none" w:sz="0" w:space="0" w:color="auto"/>
        <w:bottom w:val="none" w:sz="0" w:space="0" w:color="auto"/>
        <w:right w:val="none" w:sz="0" w:space="0" w:color="auto"/>
      </w:divBdr>
    </w:div>
    <w:div w:id="1179586914">
      <w:bodyDiv w:val="1"/>
      <w:marLeft w:val="0"/>
      <w:marRight w:val="0"/>
      <w:marTop w:val="0"/>
      <w:marBottom w:val="0"/>
      <w:divBdr>
        <w:top w:val="none" w:sz="0" w:space="0" w:color="auto"/>
        <w:left w:val="none" w:sz="0" w:space="0" w:color="auto"/>
        <w:bottom w:val="none" w:sz="0" w:space="0" w:color="auto"/>
        <w:right w:val="none" w:sz="0" w:space="0" w:color="auto"/>
      </w:divBdr>
    </w:div>
    <w:div w:id="2034307155">
      <w:bodyDiv w:val="1"/>
      <w:marLeft w:val="0"/>
      <w:marRight w:val="0"/>
      <w:marTop w:val="0"/>
      <w:marBottom w:val="0"/>
      <w:divBdr>
        <w:top w:val="none" w:sz="0" w:space="0" w:color="auto"/>
        <w:left w:val="none" w:sz="0" w:space="0" w:color="auto"/>
        <w:bottom w:val="none" w:sz="0" w:space="0" w:color="auto"/>
        <w:right w:val="none" w:sz="0" w:space="0" w:color="auto"/>
      </w:divBdr>
    </w:div>
    <w:div w:id="2061782660">
      <w:bodyDiv w:val="1"/>
      <w:marLeft w:val="0"/>
      <w:marRight w:val="0"/>
      <w:marTop w:val="0"/>
      <w:marBottom w:val="0"/>
      <w:divBdr>
        <w:top w:val="none" w:sz="0" w:space="0" w:color="auto"/>
        <w:left w:val="none" w:sz="0" w:space="0" w:color="auto"/>
        <w:bottom w:val="none" w:sz="0" w:space="0" w:color="auto"/>
        <w:right w:val="none" w:sz="0" w:space="0" w:color="auto"/>
      </w:divBdr>
      <w:divsChild>
        <w:div w:id="72316707">
          <w:marLeft w:val="0"/>
          <w:marRight w:val="0"/>
          <w:marTop w:val="0"/>
          <w:marBottom w:val="0"/>
          <w:divBdr>
            <w:top w:val="none" w:sz="0" w:space="0" w:color="auto"/>
            <w:left w:val="none" w:sz="0" w:space="0" w:color="auto"/>
            <w:bottom w:val="none" w:sz="0" w:space="0" w:color="auto"/>
            <w:right w:val="none" w:sz="0" w:space="0" w:color="auto"/>
          </w:divBdr>
          <w:divsChild>
            <w:div w:id="409354291">
              <w:marLeft w:val="0"/>
              <w:marRight w:val="0"/>
              <w:marTop w:val="0"/>
              <w:marBottom w:val="0"/>
              <w:divBdr>
                <w:top w:val="none" w:sz="0" w:space="0" w:color="auto"/>
                <w:left w:val="none" w:sz="0" w:space="0" w:color="auto"/>
                <w:bottom w:val="none" w:sz="0" w:space="0" w:color="auto"/>
                <w:right w:val="none" w:sz="0" w:space="0" w:color="auto"/>
              </w:divBdr>
            </w:div>
          </w:divsChild>
        </w:div>
        <w:div w:id="107702107">
          <w:marLeft w:val="0"/>
          <w:marRight w:val="0"/>
          <w:marTop w:val="0"/>
          <w:marBottom w:val="0"/>
          <w:divBdr>
            <w:top w:val="none" w:sz="0" w:space="0" w:color="auto"/>
            <w:left w:val="none" w:sz="0" w:space="0" w:color="auto"/>
            <w:bottom w:val="none" w:sz="0" w:space="0" w:color="auto"/>
            <w:right w:val="none" w:sz="0" w:space="0" w:color="auto"/>
          </w:divBdr>
          <w:divsChild>
            <w:div w:id="686374813">
              <w:marLeft w:val="0"/>
              <w:marRight w:val="0"/>
              <w:marTop w:val="0"/>
              <w:marBottom w:val="0"/>
              <w:divBdr>
                <w:top w:val="none" w:sz="0" w:space="0" w:color="auto"/>
                <w:left w:val="none" w:sz="0" w:space="0" w:color="auto"/>
                <w:bottom w:val="none" w:sz="0" w:space="0" w:color="auto"/>
                <w:right w:val="none" w:sz="0" w:space="0" w:color="auto"/>
              </w:divBdr>
            </w:div>
          </w:divsChild>
        </w:div>
        <w:div w:id="1899394305">
          <w:marLeft w:val="0"/>
          <w:marRight w:val="0"/>
          <w:marTop w:val="0"/>
          <w:marBottom w:val="0"/>
          <w:divBdr>
            <w:top w:val="none" w:sz="0" w:space="0" w:color="auto"/>
            <w:left w:val="none" w:sz="0" w:space="0" w:color="auto"/>
            <w:bottom w:val="none" w:sz="0" w:space="0" w:color="auto"/>
            <w:right w:val="none" w:sz="0" w:space="0" w:color="auto"/>
          </w:divBdr>
          <w:divsChild>
            <w:div w:id="824278805">
              <w:marLeft w:val="0"/>
              <w:marRight w:val="0"/>
              <w:marTop w:val="0"/>
              <w:marBottom w:val="0"/>
              <w:divBdr>
                <w:top w:val="none" w:sz="0" w:space="0" w:color="auto"/>
                <w:left w:val="none" w:sz="0" w:space="0" w:color="auto"/>
                <w:bottom w:val="none" w:sz="0" w:space="0" w:color="auto"/>
                <w:right w:val="none" w:sz="0" w:space="0" w:color="auto"/>
              </w:divBdr>
            </w:div>
          </w:divsChild>
        </w:div>
        <w:div w:id="1521161175">
          <w:marLeft w:val="0"/>
          <w:marRight w:val="0"/>
          <w:marTop w:val="0"/>
          <w:marBottom w:val="0"/>
          <w:divBdr>
            <w:top w:val="none" w:sz="0" w:space="0" w:color="auto"/>
            <w:left w:val="none" w:sz="0" w:space="0" w:color="auto"/>
            <w:bottom w:val="none" w:sz="0" w:space="0" w:color="auto"/>
            <w:right w:val="none" w:sz="0" w:space="0" w:color="auto"/>
          </w:divBdr>
          <w:divsChild>
            <w:div w:id="1108432511">
              <w:marLeft w:val="0"/>
              <w:marRight w:val="0"/>
              <w:marTop w:val="0"/>
              <w:marBottom w:val="0"/>
              <w:divBdr>
                <w:top w:val="none" w:sz="0" w:space="0" w:color="auto"/>
                <w:left w:val="none" w:sz="0" w:space="0" w:color="auto"/>
                <w:bottom w:val="none" w:sz="0" w:space="0" w:color="auto"/>
                <w:right w:val="none" w:sz="0" w:space="0" w:color="auto"/>
              </w:divBdr>
            </w:div>
          </w:divsChild>
        </w:div>
        <w:div w:id="1014381243">
          <w:marLeft w:val="0"/>
          <w:marRight w:val="0"/>
          <w:marTop w:val="0"/>
          <w:marBottom w:val="0"/>
          <w:divBdr>
            <w:top w:val="none" w:sz="0" w:space="0" w:color="auto"/>
            <w:left w:val="none" w:sz="0" w:space="0" w:color="auto"/>
            <w:bottom w:val="none" w:sz="0" w:space="0" w:color="auto"/>
            <w:right w:val="none" w:sz="0" w:space="0" w:color="auto"/>
          </w:divBdr>
          <w:divsChild>
            <w:div w:id="772553557">
              <w:marLeft w:val="0"/>
              <w:marRight w:val="0"/>
              <w:marTop w:val="0"/>
              <w:marBottom w:val="0"/>
              <w:divBdr>
                <w:top w:val="none" w:sz="0" w:space="0" w:color="auto"/>
                <w:left w:val="none" w:sz="0" w:space="0" w:color="auto"/>
                <w:bottom w:val="none" w:sz="0" w:space="0" w:color="auto"/>
                <w:right w:val="none" w:sz="0" w:space="0" w:color="auto"/>
              </w:divBdr>
            </w:div>
          </w:divsChild>
        </w:div>
        <w:div w:id="657028932">
          <w:marLeft w:val="0"/>
          <w:marRight w:val="0"/>
          <w:marTop w:val="0"/>
          <w:marBottom w:val="0"/>
          <w:divBdr>
            <w:top w:val="none" w:sz="0" w:space="0" w:color="auto"/>
            <w:left w:val="none" w:sz="0" w:space="0" w:color="auto"/>
            <w:bottom w:val="none" w:sz="0" w:space="0" w:color="auto"/>
            <w:right w:val="none" w:sz="0" w:space="0" w:color="auto"/>
          </w:divBdr>
          <w:divsChild>
            <w:div w:id="1015618319">
              <w:marLeft w:val="0"/>
              <w:marRight w:val="0"/>
              <w:marTop w:val="0"/>
              <w:marBottom w:val="0"/>
              <w:divBdr>
                <w:top w:val="none" w:sz="0" w:space="0" w:color="auto"/>
                <w:left w:val="none" w:sz="0" w:space="0" w:color="auto"/>
                <w:bottom w:val="none" w:sz="0" w:space="0" w:color="auto"/>
                <w:right w:val="none" w:sz="0" w:space="0" w:color="auto"/>
              </w:divBdr>
            </w:div>
          </w:divsChild>
        </w:div>
        <w:div w:id="1155754123">
          <w:marLeft w:val="0"/>
          <w:marRight w:val="0"/>
          <w:marTop w:val="0"/>
          <w:marBottom w:val="0"/>
          <w:divBdr>
            <w:top w:val="none" w:sz="0" w:space="0" w:color="auto"/>
            <w:left w:val="none" w:sz="0" w:space="0" w:color="auto"/>
            <w:bottom w:val="none" w:sz="0" w:space="0" w:color="auto"/>
            <w:right w:val="none" w:sz="0" w:space="0" w:color="auto"/>
          </w:divBdr>
          <w:divsChild>
            <w:div w:id="148526031">
              <w:marLeft w:val="0"/>
              <w:marRight w:val="0"/>
              <w:marTop w:val="0"/>
              <w:marBottom w:val="0"/>
              <w:divBdr>
                <w:top w:val="none" w:sz="0" w:space="0" w:color="auto"/>
                <w:left w:val="none" w:sz="0" w:space="0" w:color="auto"/>
                <w:bottom w:val="none" w:sz="0" w:space="0" w:color="auto"/>
                <w:right w:val="none" w:sz="0" w:space="0" w:color="auto"/>
              </w:divBdr>
            </w:div>
          </w:divsChild>
        </w:div>
        <w:div w:id="508644448">
          <w:marLeft w:val="0"/>
          <w:marRight w:val="0"/>
          <w:marTop w:val="0"/>
          <w:marBottom w:val="0"/>
          <w:divBdr>
            <w:top w:val="none" w:sz="0" w:space="0" w:color="auto"/>
            <w:left w:val="none" w:sz="0" w:space="0" w:color="auto"/>
            <w:bottom w:val="none" w:sz="0" w:space="0" w:color="auto"/>
            <w:right w:val="none" w:sz="0" w:space="0" w:color="auto"/>
          </w:divBdr>
          <w:divsChild>
            <w:div w:id="1265847515">
              <w:marLeft w:val="0"/>
              <w:marRight w:val="0"/>
              <w:marTop w:val="0"/>
              <w:marBottom w:val="0"/>
              <w:divBdr>
                <w:top w:val="none" w:sz="0" w:space="0" w:color="auto"/>
                <w:left w:val="none" w:sz="0" w:space="0" w:color="auto"/>
                <w:bottom w:val="none" w:sz="0" w:space="0" w:color="auto"/>
                <w:right w:val="none" w:sz="0" w:space="0" w:color="auto"/>
              </w:divBdr>
            </w:div>
          </w:divsChild>
        </w:div>
        <w:div w:id="1050150995">
          <w:marLeft w:val="0"/>
          <w:marRight w:val="0"/>
          <w:marTop w:val="0"/>
          <w:marBottom w:val="0"/>
          <w:divBdr>
            <w:top w:val="none" w:sz="0" w:space="0" w:color="auto"/>
            <w:left w:val="none" w:sz="0" w:space="0" w:color="auto"/>
            <w:bottom w:val="none" w:sz="0" w:space="0" w:color="auto"/>
            <w:right w:val="none" w:sz="0" w:space="0" w:color="auto"/>
          </w:divBdr>
          <w:divsChild>
            <w:div w:id="812597724">
              <w:marLeft w:val="0"/>
              <w:marRight w:val="0"/>
              <w:marTop w:val="0"/>
              <w:marBottom w:val="0"/>
              <w:divBdr>
                <w:top w:val="none" w:sz="0" w:space="0" w:color="auto"/>
                <w:left w:val="none" w:sz="0" w:space="0" w:color="auto"/>
                <w:bottom w:val="none" w:sz="0" w:space="0" w:color="auto"/>
                <w:right w:val="none" w:sz="0" w:space="0" w:color="auto"/>
              </w:divBdr>
            </w:div>
          </w:divsChild>
        </w:div>
        <w:div w:id="459111836">
          <w:marLeft w:val="0"/>
          <w:marRight w:val="0"/>
          <w:marTop w:val="0"/>
          <w:marBottom w:val="0"/>
          <w:divBdr>
            <w:top w:val="none" w:sz="0" w:space="0" w:color="auto"/>
            <w:left w:val="none" w:sz="0" w:space="0" w:color="auto"/>
            <w:bottom w:val="none" w:sz="0" w:space="0" w:color="auto"/>
            <w:right w:val="none" w:sz="0" w:space="0" w:color="auto"/>
          </w:divBdr>
          <w:divsChild>
            <w:div w:id="1543589764">
              <w:marLeft w:val="0"/>
              <w:marRight w:val="0"/>
              <w:marTop w:val="0"/>
              <w:marBottom w:val="0"/>
              <w:divBdr>
                <w:top w:val="none" w:sz="0" w:space="0" w:color="auto"/>
                <w:left w:val="none" w:sz="0" w:space="0" w:color="auto"/>
                <w:bottom w:val="none" w:sz="0" w:space="0" w:color="auto"/>
                <w:right w:val="none" w:sz="0" w:space="0" w:color="auto"/>
              </w:divBdr>
            </w:div>
          </w:divsChild>
        </w:div>
        <w:div w:id="1815292651">
          <w:marLeft w:val="0"/>
          <w:marRight w:val="0"/>
          <w:marTop w:val="0"/>
          <w:marBottom w:val="0"/>
          <w:divBdr>
            <w:top w:val="none" w:sz="0" w:space="0" w:color="auto"/>
            <w:left w:val="none" w:sz="0" w:space="0" w:color="auto"/>
            <w:bottom w:val="none" w:sz="0" w:space="0" w:color="auto"/>
            <w:right w:val="none" w:sz="0" w:space="0" w:color="auto"/>
          </w:divBdr>
          <w:divsChild>
            <w:div w:id="1730224597">
              <w:marLeft w:val="0"/>
              <w:marRight w:val="0"/>
              <w:marTop w:val="0"/>
              <w:marBottom w:val="0"/>
              <w:divBdr>
                <w:top w:val="none" w:sz="0" w:space="0" w:color="auto"/>
                <w:left w:val="none" w:sz="0" w:space="0" w:color="auto"/>
                <w:bottom w:val="none" w:sz="0" w:space="0" w:color="auto"/>
                <w:right w:val="none" w:sz="0" w:space="0" w:color="auto"/>
              </w:divBdr>
            </w:div>
          </w:divsChild>
        </w:div>
        <w:div w:id="1049568099">
          <w:marLeft w:val="0"/>
          <w:marRight w:val="0"/>
          <w:marTop w:val="0"/>
          <w:marBottom w:val="0"/>
          <w:divBdr>
            <w:top w:val="none" w:sz="0" w:space="0" w:color="auto"/>
            <w:left w:val="none" w:sz="0" w:space="0" w:color="auto"/>
            <w:bottom w:val="none" w:sz="0" w:space="0" w:color="auto"/>
            <w:right w:val="none" w:sz="0" w:space="0" w:color="auto"/>
          </w:divBdr>
          <w:divsChild>
            <w:div w:id="86584391">
              <w:marLeft w:val="0"/>
              <w:marRight w:val="0"/>
              <w:marTop w:val="0"/>
              <w:marBottom w:val="0"/>
              <w:divBdr>
                <w:top w:val="none" w:sz="0" w:space="0" w:color="auto"/>
                <w:left w:val="none" w:sz="0" w:space="0" w:color="auto"/>
                <w:bottom w:val="none" w:sz="0" w:space="0" w:color="auto"/>
                <w:right w:val="none" w:sz="0" w:space="0" w:color="auto"/>
              </w:divBdr>
            </w:div>
          </w:divsChild>
        </w:div>
        <w:div w:id="569073182">
          <w:marLeft w:val="0"/>
          <w:marRight w:val="0"/>
          <w:marTop w:val="0"/>
          <w:marBottom w:val="0"/>
          <w:divBdr>
            <w:top w:val="none" w:sz="0" w:space="0" w:color="auto"/>
            <w:left w:val="none" w:sz="0" w:space="0" w:color="auto"/>
            <w:bottom w:val="none" w:sz="0" w:space="0" w:color="auto"/>
            <w:right w:val="none" w:sz="0" w:space="0" w:color="auto"/>
          </w:divBdr>
          <w:divsChild>
            <w:div w:id="847715995">
              <w:marLeft w:val="0"/>
              <w:marRight w:val="0"/>
              <w:marTop w:val="0"/>
              <w:marBottom w:val="0"/>
              <w:divBdr>
                <w:top w:val="none" w:sz="0" w:space="0" w:color="auto"/>
                <w:left w:val="none" w:sz="0" w:space="0" w:color="auto"/>
                <w:bottom w:val="none" w:sz="0" w:space="0" w:color="auto"/>
                <w:right w:val="none" w:sz="0" w:space="0" w:color="auto"/>
              </w:divBdr>
            </w:div>
          </w:divsChild>
        </w:div>
        <w:div w:id="498038559">
          <w:marLeft w:val="0"/>
          <w:marRight w:val="0"/>
          <w:marTop w:val="0"/>
          <w:marBottom w:val="0"/>
          <w:divBdr>
            <w:top w:val="none" w:sz="0" w:space="0" w:color="auto"/>
            <w:left w:val="none" w:sz="0" w:space="0" w:color="auto"/>
            <w:bottom w:val="none" w:sz="0" w:space="0" w:color="auto"/>
            <w:right w:val="none" w:sz="0" w:space="0" w:color="auto"/>
          </w:divBdr>
          <w:divsChild>
            <w:div w:id="982271509">
              <w:marLeft w:val="0"/>
              <w:marRight w:val="0"/>
              <w:marTop w:val="0"/>
              <w:marBottom w:val="0"/>
              <w:divBdr>
                <w:top w:val="none" w:sz="0" w:space="0" w:color="auto"/>
                <w:left w:val="none" w:sz="0" w:space="0" w:color="auto"/>
                <w:bottom w:val="none" w:sz="0" w:space="0" w:color="auto"/>
                <w:right w:val="none" w:sz="0" w:space="0" w:color="auto"/>
              </w:divBdr>
            </w:div>
          </w:divsChild>
        </w:div>
        <w:div w:id="1911886859">
          <w:marLeft w:val="0"/>
          <w:marRight w:val="0"/>
          <w:marTop w:val="0"/>
          <w:marBottom w:val="0"/>
          <w:divBdr>
            <w:top w:val="none" w:sz="0" w:space="0" w:color="auto"/>
            <w:left w:val="none" w:sz="0" w:space="0" w:color="auto"/>
            <w:bottom w:val="none" w:sz="0" w:space="0" w:color="auto"/>
            <w:right w:val="none" w:sz="0" w:space="0" w:color="auto"/>
          </w:divBdr>
          <w:divsChild>
            <w:div w:id="96021723">
              <w:marLeft w:val="0"/>
              <w:marRight w:val="0"/>
              <w:marTop w:val="0"/>
              <w:marBottom w:val="0"/>
              <w:divBdr>
                <w:top w:val="none" w:sz="0" w:space="0" w:color="auto"/>
                <w:left w:val="none" w:sz="0" w:space="0" w:color="auto"/>
                <w:bottom w:val="none" w:sz="0" w:space="0" w:color="auto"/>
                <w:right w:val="none" w:sz="0" w:space="0" w:color="auto"/>
              </w:divBdr>
            </w:div>
          </w:divsChild>
        </w:div>
        <w:div w:id="1224104564">
          <w:marLeft w:val="0"/>
          <w:marRight w:val="0"/>
          <w:marTop w:val="0"/>
          <w:marBottom w:val="0"/>
          <w:divBdr>
            <w:top w:val="none" w:sz="0" w:space="0" w:color="auto"/>
            <w:left w:val="none" w:sz="0" w:space="0" w:color="auto"/>
            <w:bottom w:val="none" w:sz="0" w:space="0" w:color="auto"/>
            <w:right w:val="none" w:sz="0" w:space="0" w:color="auto"/>
          </w:divBdr>
          <w:divsChild>
            <w:div w:id="2101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cqi.healthit.gov/ecqm/ec/2022/cms165v10"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file:///C:\Users\Jane.daylor.ctr\AppData\Local\Temp\Temp1_EP-eCQM-Flows-2022.zip\CMS122v10-eCQMFlow.pdf" TargetMode="External"/><Relationship Id="rId20" Type="http://schemas.openxmlformats.org/officeDocument/2006/relationships/hyperlink" Target="file:///C:\Users\Jane.daylor.ctr\AppData\Local\Temp\Temp1_EP-eCQM-Flows-2022.zip\CMS165v10-eCQMFlow.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Jane.daylor.ctr\AppData\Local\Temp\Temp1_EP-eCQM-Flows-2022.zip\CMS347v5-eCQMFlow.pdf" TargetMode="External"/><Relationship Id="rId5" Type="http://schemas.openxmlformats.org/officeDocument/2006/relationships/numbering" Target="numbering.xml"/><Relationship Id="rId15" Type="http://schemas.openxmlformats.org/officeDocument/2006/relationships/hyperlink" Target="http://clinical.diabetesjournals.org/content/36/1/14" TargetMode="External"/><Relationship Id="rId23" Type="http://schemas.openxmlformats.org/officeDocument/2006/relationships/hyperlink" Target="https://www.heart.org/-/media/files/health-topics/cholesterol/chlstrmngmntgd_181110.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bloodpressure/about.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qi.healthit.gov/ecqm/ec/2022/cms122v10" TargetMode="External"/><Relationship Id="rId22" Type="http://schemas.openxmlformats.org/officeDocument/2006/relationships/hyperlink" Target="https://ecqi.healthit.gov/ecqm/ec/2022/cms347v5" TargetMode="External"/><Relationship Id="rId27" Type="http://schemas.openxmlformats.org/officeDocument/2006/relationships/image" Target="media/image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0E8A7978AC424AAC1922D940686870" ma:contentTypeVersion="6" ma:contentTypeDescription="Create a new document." ma:contentTypeScope="" ma:versionID="a654c05632f4b3d720bb0ee4142618f3">
  <xsd:schema xmlns:xsd="http://www.w3.org/2001/XMLSchema" xmlns:xs="http://www.w3.org/2001/XMLSchema" xmlns:p="http://schemas.microsoft.com/office/2006/metadata/properties" xmlns:ns2="113a08ee-f2ee-4b4b-af0a-7044bd46594c" targetNamespace="http://schemas.microsoft.com/office/2006/metadata/properties" ma:root="true" ma:fieldsID="13abb692176983b1a8dbcf145d511d67" ns2:_="">
    <xsd:import namespace="113a08ee-f2ee-4b4b-af0a-7044bd4659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a08ee-f2ee-4b4b-af0a-7044bd465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530FF-CBD2-4533-83F6-680F5BE96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44AAE-1C5C-4354-9A72-CB4685E9624E}">
  <ds:schemaRefs>
    <ds:schemaRef ds:uri="http://schemas.microsoft.com/sharepoint/v3/contenttype/forms"/>
  </ds:schemaRefs>
</ds:datastoreItem>
</file>

<file path=customXml/itemProps3.xml><?xml version="1.0" encoding="utf-8"?>
<ds:datastoreItem xmlns:ds="http://schemas.openxmlformats.org/officeDocument/2006/customXml" ds:itemID="{98ED5B7F-0542-4A34-866B-C7622CB3D804}">
  <ds:schemaRefs>
    <ds:schemaRef ds:uri="http://schemas.openxmlformats.org/officeDocument/2006/bibliography"/>
  </ds:schemaRefs>
</ds:datastoreItem>
</file>

<file path=customXml/itemProps4.xml><?xml version="1.0" encoding="utf-8"?>
<ds:datastoreItem xmlns:ds="http://schemas.openxmlformats.org/officeDocument/2006/customXml" ds:itemID="{5FE1202C-4405-4BC4-9973-7E9299B3A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a08ee-f2ee-4b4b-af0a-7044bd4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Votta, Carol (RIDOH)</dc:creator>
  <cp:keywords/>
  <dc:description/>
  <cp:lastModifiedBy>Jayne Daylor</cp:lastModifiedBy>
  <cp:revision>5</cp:revision>
  <cp:lastPrinted>2019-09-03T12:50:00Z</cp:lastPrinted>
  <dcterms:created xsi:type="dcterms:W3CDTF">2022-06-22T14:14:00Z</dcterms:created>
  <dcterms:modified xsi:type="dcterms:W3CDTF">2022-06-23T13:40:00Z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0x010100920E8A7978AC424AAC1922D940686870</vt:lpwstr>
  </property>
</Properties>
</file>