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155" w:rsidRDefault="007D265C" w:rsidP="00AA6155">
      <w:pPr>
        <w:spacing w:after="0" w:line="240" w:lineRule="auto"/>
        <w:jc w:val="center"/>
        <w:rPr>
          <w:rFonts w:ascii="Calibri" w:hAnsi="Calibri" w:cstheme="minorHAnsi"/>
          <w:b/>
          <w:sz w:val="28"/>
          <w:szCs w:val="28"/>
        </w:rPr>
      </w:pPr>
      <w:bookmarkStart w:id="0" w:name="_GoBack"/>
      <w:r>
        <w:rPr>
          <w:b/>
          <w:noProof/>
        </w:rPr>
        <w:drawing>
          <wp:anchor distT="0" distB="0" distL="114300" distR="114300" simplePos="0" relativeHeight="251659264" behindDoc="0" locked="0" layoutInCell="1" allowOverlap="1" wp14:anchorId="60AF8D06" wp14:editId="49C1F87E">
            <wp:simplePos x="0" y="0"/>
            <wp:positionH relativeFrom="margin">
              <wp:align>left</wp:align>
            </wp:positionH>
            <wp:positionV relativeFrom="paragraph">
              <wp:posOffset>-270</wp:posOffset>
            </wp:positionV>
            <wp:extent cx="2225040" cy="621665"/>
            <wp:effectExtent l="0" t="0" r="381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C_PCMH_EmailLogo_RGB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040" cy="621665"/>
                    </a:xfrm>
                    <a:prstGeom prst="rect">
                      <a:avLst/>
                    </a:prstGeom>
                  </pic:spPr>
                </pic:pic>
              </a:graphicData>
            </a:graphic>
          </wp:anchor>
        </w:drawing>
      </w:r>
      <w:bookmarkEnd w:id="0"/>
      <w:r w:rsidR="005238AB">
        <w:rPr>
          <w:rFonts w:ascii="Calibri" w:hAnsi="Calibri" w:cstheme="minorHAnsi"/>
          <w:b/>
          <w:sz w:val="28"/>
          <w:szCs w:val="28"/>
        </w:rPr>
        <w:t xml:space="preserve">PCMH-Kids, </w:t>
      </w:r>
      <w:r w:rsidR="00AA6155">
        <w:rPr>
          <w:rFonts w:ascii="Calibri" w:hAnsi="Calibri" w:cstheme="minorHAnsi"/>
          <w:b/>
          <w:sz w:val="28"/>
          <w:szCs w:val="28"/>
        </w:rPr>
        <w:t xml:space="preserve">RI Care Transformation Collaborative (CTC) </w:t>
      </w:r>
    </w:p>
    <w:p w:rsidR="00AA6155" w:rsidRPr="00DC60EC" w:rsidRDefault="0004263B" w:rsidP="00AA6155">
      <w:pPr>
        <w:spacing w:after="0" w:line="240" w:lineRule="auto"/>
        <w:jc w:val="center"/>
        <w:rPr>
          <w:rFonts w:ascii="Calibri" w:hAnsi="Calibri" w:cstheme="minorHAnsi"/>
          <w:sz w:val="28"/>
          <w:szCs w:val="28"/>
        </w:rPr>
      </w:pPr>
      <w:r>
        <w:rPr>
          <w:rFonts w:ascii="Calibri" w:hAnsi="Calibri" w:cstheme="minorHAnsi"/>
          <w:b/>
          <w:sz w:val="28"/>
          <w:szCs w:val="28"/>
        </w:rPr>
        <w:t xml:space="preserve">Pediatric </w:t>
      </w:r>
      <w:r w:rsidR="00AA6155">
        <w:rPr>
          <w:rFonts w:ascii="Calibri" w:hAnsi="Calibri" w:cstheme="minorHAnsi"/>
          <w:b/>
          <w:sz w:val="28"/>
          <w:szCs w:val="28"/>
        </w:rPr>
        <w:t>Clinical Quality Measures</w:t>
      </w:r>
      <w:r w:rsidR="00AA6155" w:rsidRPr="00F00751">
        <w:rPr>
          <w:rFonts w:ascii="Calibri" w:hAnsi="Calibri" w:cstheme="minorHAnsi"/>
          <w:b/>
          <w:sz w:val="28"/>
          <w:szCs w:val="28"/>
        </w:rPr>
        <w:t xml:space="preserve"> </w:t>
      </w:r>
      <w:r w:rsidR="00AA6155">
        <w:rPr>
          <w:rFonts w:ascii="Calibri" w:hAnsi="Calibri" w:cstheme="minorHAnsi"/>
          <w:b/>
          <w:sz w:val="28"/>
          <w:szCs w:val="28"/>
        </w:rPr>
        <w:t xml:space="preserve">(CQM) </w:t>
      </w:r>
      <w:r w:rsidR="00AA6155" w:rsidRPr="00F00751">
        <w:rPr>
          <w:rFonts w:ascii="Calibri" w:hAnsi="Calibri" w:cstheme="minorHAnsi"/>
          <w:b/>
          <w:sz w:val="28"/>
          <w:szCs w:val="28"/>
        </w:rPr>
        <w:t xml:space="preserve">Strategy Checklist </w:t>
      </w:r>
      <w:r w:rsidR="00DC60EC" w:rsidRPr="005A5D98">
        <w:rPr>
          <w:rFonts w:ascii="Calibri" w:hAnsi="Calibri" w:cstheme="minorHAnsi"/>
          <w:sz w:val="28"/>
          <w:szCs w:val="28"/>
        </w:rPr>
        <w:t>(</w:t>
      </w:r>
      <w:r w:rsidR="005238AB" w:rsidRPr="005A5D98">
        <w:rPr>
          <w:rFonts w:ascii="Calibri" w:hAnsi="Calibri" w:cstheme="minorHAnsi"/>
          <w:sz w:val="28"/>
          <w:szCs w:val="28"/>
        </w:rPr>
        <w:t>v1</w:t>
      </w:r>
      <w:r w:rsidR="00DC60EC" w:rsidRPr="005A5D98">
        <w:rPr>
          <w:rFonts w:ascii="Calibri" w:hAnsi="Calibri" w:cstheme="minorHAnsi"/>
          <w:sz w:val="28"/>
          <w:szCs w:val="28"/>
        </w:rPr>
        <w:t>.1</w:t>
      </w:r>
      <w:r w:rsidR="005A5D98" w:rsidRPr="005A5D98">
        <w:rPr>
          <w:rFonts w:ascii="Calibri" w:hAnsi="Calibri" w:cstheme="minorHAnsi"/>
          <w:sz w:val="28"/>
          <w:szCs w:val="28"/>
        </w:rPr>
        <w:t>7</w:t>
      </w:r>
      <w:r w:rsidR="00DC60EC" w:rsidRPr="005A5D98">
        <w:rPr>
          <w:rFonts w:ascii="Calibri" w:hAnsi="Calibri" w:cstheme="minorHAnsi"/>
          <w:sz w:val="28"/>
          <w:szCs w:val="28"/>
        </w:rPr>
        <w:t>)</w:t>
      </w:r>
    </w:p>
    <w:p w:rsidR="00AA6155" w:rsidRPr="001B3C5C" w:rsidRDefault="00AA6155" w:rsidP="00AA6155">
      <w:pPr>
        <w:spacing w:after="0" w:line="240" w:lineRule="auto"/>
        <w:jc w:val="center"/>
        <w:rPr>
          <w:rFonts w:ascii="Calibri" w:hAnsi="Calibri" w:cstheme="minorHAnsi"/>
          <w:sz w:val="24"/>
          <w:szCs w:val="24"/>
        </w:rPr>
      </w:pPr>
      <w:r w:rsidRPr="001B3C5C">
        <w:rPr>
          <w:rFonts w:ascii="Calibri" w:hAnsi="Calibri" w:cstheme="minorHAnsi"/>
          <w:sz w:val="24"/>
          <w:szCs w:val="24"/>
        </w:rPr>
        <w:t>(</w:t>
      </w:r>
      <w:r w:rsidR="00FE432F" w:rsidRPr="001B3C5C">
        <w:rPr>
          <w:rFonts w:ascii="Calibri" w:hAnsi="Calibri" w:cstheme="minorHAnsi"/>
          <w:sz w:val="24"/>
          <w:szCs w:val="24"/>
        </w:rPr>
        <w:t>Based</w:t>
      </w:r>
      <w:r w:rsidRPr="001B3C5C">
        <w:rPr>
          <w:rFonts w:ascii="Calibri" w:hAnsi="Calibri" w:cstheme="minorHAnsi"/>
          <w:sz w:val="24"/>
          <w:szCs w:val="24"/>
        </w:rPr>
        <w:t xml:space="preserve"> </w:t>
      </w:r>
      <w:r w:rsidRPr="00FE432F">
        <w:rPr>
          <w:rFonts w:ascii="Calibri" w:hAnsi="Calibri" w:cstheme="minorHAnsi"/>
          <w:sz w:val="24"/>
          <w:szCs w:val="24"/>
        </w:rPr>
        <w:t xml:space="preserve">on </w:t>
      </w:r>
      <w:r w:rsidR="00DC60EC">
        <w:rPr>
          <w:rFonts w:ascii="Calibri" w:hAnsi="Calibri" w:cstheme="minorHAnsi"/>
          <w:sz w:val="24"/>
          <w:szCs w:val="24"/>
        </w:rPr>
        <w:t>CTC</w:t>
      </w:r>
      <w:r w:rsidR="0066547A">
        <w:rPr>
          <w:rFonts w:ascii="Calibri" w:hAnsi="Calibri" w:cstheme="minorHAnsi"/>
          <w:sz w:val="24"/>
          <w:szCs w:val="24"/>
        </w:rPr>
        <w:t>/OHIC</w:t>
      </w:r>
      <w:r w:rsidR="00DC60EC">
        <w:rPr>
          <w:rFonts w:ascii="Calibri" w:hAnsi="Calibri" w:cstheme="minorHAnsi"/>
          <w:sz w:val="24"/>
          <w:szCs w:val="24"/>
        </w:rPr>
        <w:t xml:space="preserve"> document: “</w:t>
      </w:r>
      <w:r w:rsidR="008E0362">
        <w:rPr>
          <w:rFonts w:ascii="Calibri" w:hAnsi="Calibri" w:cstheme="minorHAnsi"/>
          <w:sz w:val="24"/>
          <w:szCs w:val="24"/>
        </w:rPr>
        <w:t>December</w:t>
      </w:r>
      <w:r w:rsidR="008B4D1C" w:rsidRPr="008B4D1C">
        <w:rPr>
          <w:rFonts w:ascii="Calibri" w:hAnsi="Calibri" w:cstheme="minorHAnsi"/>
          <w:sz w:val="24"/>
          <w:szCs w:val="24"/>
        </w:rPr>
        <w:t xml:space="preserve"> 201</w:t>
      </w:r>
      <w:r w:rsidR="008E0362">
        <w:rPr>
          <w:rFonts w:ascii="Calibri" w:hAnsi="Calibri" w:cstheme="minorHAnsi"/>
          <w:sz w:val="24"/>
          <w:szCs w:val="24"/>
        </w:rPr>
        <w:t>8</w:t>
      </w:r>
      <w:r w:rsidR="008B4D1C" w:rsidRPr="008B4D1C">
        <w:rPr>
          <w:rFonts w:ascii="Calibri" w:hAnsi="Calibri" w:cstheme="minorHAnsi"/>
          <w:sz w:val="24"/>
          <w:szCs w:val="24"/>
        </w:rPr>
        <w:t xml:space="preserve"> CTC/OHIC Measure Specifications</w:t>
      </w:r>
      <w:r w:rsidR="00DC60EC">
        <w:rPr>
          <w:rFonts w:ascii="Calibri" w:hAnsi="Calibri" w:cstheme="minorHAnsi"/>
          <w:sz w:val="24"/>
          <w:szCs w:val="24"/>
        </w:rPr>
        <w:t>”</w:t>
      </w:r>
      <w:r w:rsidRPr="00FE432F">
        <w:rPr>
          <w:rFonts w:ascii="Calibri" w:hAnsi="Calibri" w:cstheme="minorHAnsi"/>
          <w:sz w:val="24"/>
          <w:szCs w:val="24"/>
        </w:rPr>
        <w:t>)</w:t>
      </w:r>
      <w:r w:rsidR="00482520">
        <w:rPr>
          <w:rFonts w:ascii="Calibri" w:hAnsi="Calibri" w:cstheme="minorHAnsi"/>
          <w:sz w:val="24"/>
          <w:szCs w:val="24"/>
        </w:rPr>
        <w:t xml:space="preserve"> </w:t>
      </w:r>
    </w:p>
    <w:p w:rsidR="00AA6155" w:rsidRPr="00F00751" w:rsidRDefault="00AA6155" w:rsidP="00BB29DE">
      <w:pPr>
        <w:spacing w:after="0" w:line="240" w:lineRule="auto"/>
        <w:rPr>
          <w:rFonts w:ascii="Calibri" w:hAnsi="Calibri" w:cs="Times New Roman"/>
          <w:color w:val="2F5496" w:themeColor="accent5" w:themeShade="BF"/>
        </w:rPr>
      </w:pPr>
      <w:r w:rsidRPr="00F00751">
        <w:rPr>
          <w:rFonts w:ascii="Calibri" w:hAnsi="Calibri" w:cs="Times New Roman"/>
          <w:color w:val="2F5496" w:themeColor="accent5" w:themeShade="BF"/>
        </w:rPr>
        <w:t>___________</w:t>
      </w:r>
      <w:r>
        <w:rPr>
          <w:rFonts w:ascii="Calibri" w:hAnsi="Calibri" w:cs="Times New Roman"/>
          <w:color w:val="2F5496" w:themeColor="accent5" w:themeShade="BF"/>
        </w:rPr>
        <w:t>____________________________</w:t>
      </w:r>
      <w:r w:rsidRPr="00F00751">
        <w:rPr>
          <w:rFonts w:ascii="Calibri" w:hAnsi="Calibri" w:cs="Times New Roman"/>
          <w:color w:val="2F5496" w:themeColor="accent5" w:themeShade="BF"/>
        </w:rPr>
        <w:t>__________________________________________________________________________________</w:t>
      </w:r>
    </w:p>
    <w:p w:rsidR="00AA6155" w:rsidRPr="00A25853" w:rsidRDefault="001B2C9A" w:rsidP="00AA6155">
      <w:pPr>
        <w:spacing w:after="0" w:line="240" w:lineRule="auto"/>
        <w:rPr>
          <w:rFonts w:ascii="Calibri" w:hAnsi="Calibri" w:cstheme="minorHAnsi"/>
          <w:sz w:val="24"/>
          <w:szCs w:val="24"/>
        </w:rPr>
      </w:pPr>
      <w:proofErr w:type="spellStart"/>
      <w:r>
        <w:rPr>
          <w:rFonts w:ascii="Calibri" w:hAnsi="Calibri" w:cstheme="minorHAnsi"/>
          <w:sz w:val="24"/>
          <w:szCs w:val="24"/>
        </w:rPr>
        <w:t>Healthcentric</w:t>
      </w:r>
      <w:proofErr w:type="spellEnd"/>
      <w:r>
        <w:rPr>
          <w:rFonts w:ascii="Calibri" w:hAnsi="Calibri" w:cstheme="minorHAnsi"/>
          <w:sz w:val="24"/>
          <w:szCs w:val="24"/>
        </w:rPr>
        <w:t xml:space="preserve"> Advisors</w:t>
      </w:r>
      <w:r w:rsidR="002506F5">
        <w:rPr>
          <w:rFonts w:ascii="Calibri" w:hAnsi="Calibri" w:cstheme="minorHAnsi"/>
          <w:sz w:val="24"/>
          <w:szCs w:val="24"/>
        </w:rPr>
        <w:t>, together with CTC,</w:t>
      </w:r>
      <w:r>
        <w:rPr>
          <w:rFonts w:ascii="Calibri" w:hAnsi="Calibri" w:cstheme="minorHAnsi"/>
          <w:sz w:val="24"/>
          <w:szCs w:val="24"/>
        </w:rPr>
        <w:t xml:space="preserve"> has</w:t>
      </w:r>
      <w:r w:rsidR="00AA6155" w:rsidRPr="00E0541A">
        <w:rPr>
          <w:rFonts w:ascii="Calibri" w:hAnsi="Calibri" w:cstheme="minorHAnsi"/>
          <w:sz w:val="24"/>
          <w:szCs w:val="24"/>
        </w:rPr>
        <w:t xml:space="preserve"> developed this checklist to assist </w:t>
      </w:r>
      <w:r w:rsidR="00DC60EC" w:rsidRPr="00E0541A">
        <w:rPr>
          <w:rFonts w:ascii="Calibri" w:hAnsi="Calibri" w:cstheme="minorHAnsi"/>
          <w:sz w:val="24"/>
          <w:szCs w:val="24"/>
        </w:rPr>
        <w:t>practices</w:t>
      </w:r>
      <w:r w:rsidR="00AA6155" w:rsidRPr="00E0541A">
        <w:rPr>
          <w:rFonts w:ascii="Calibri" w:hAnsi="Calibri" w:cstheme="minorHAnsi"/>
          <w:sz w:val="24"/>
          <w:szCs w:val="24"/>
        </w:rPr>
        <w:t xml:space="preserve"> in achievement of </w:t>
      </w:r>
      <w:r w:rsidR="00DC60EC" w:rsidRPr="00E0541A">
        <w:rPr>
          <w:rFonts w:ascii="Calibri" w:hAnsi="Calibri" w:cstheme="minorHAnsi"/>
          <w:sz w:val="24"/>
          <w:szCs w:val="24"/>
        </w:rPr>
        <w:t xml:space="preserve">clinical quality measure (CQM) </w:t>
      </w:r>
      <w:r w:rsidR="00AA6155" w:rsidRPr="00E0541A">
        <w:rPr>
          <w:rFonts w:ascii="Calibri" w:hAnsi="Calibri" w:cstheme="minorHAnsi"/>
          <w:sz w:val="24"/>
          <w:szCs w:val="24"/>
        </w:rPr>
        <w:t>reporting for CTC.  This is not an exhaustive plan, but rather a guide to help navigate the requirements.  Use t</w:t>
      </w:r>
      <w:r w:rsidR="00DC60EC" w:rsidRPr="00E0541A">
        <w:rPr>
          <w:rFonts w:ascii="Calibri" w:hAnsi="Calibri" w:cstheme="minorHAnsi"/>
          <w:sz w:val="24"/>
          <w:szCs w:val="24"/>
        </w:rPr>
        <w:t>his checklist as supplement to: “</w:t>
      </w:r>
      <w:r w:rsidR="008B4D1C" w:rsidRPr="008B4D1C">
        <w:rPr>
          <w:rFonts w:ascii="Calibri" w:hAnsi="Calibri" w:cstheme="minorHAnsi"/>
          <w:sz w:val="24"/>
          <w:szCs w:val="24"/>
        </w:rPr>
        <w:t>December 2018 CTC/OHIC Measure Specifications</w:t>
      </w:r>
      <w:r w:rsidR="00DC60EC" w:rsidRPr="00E0541A">
        <w:rPr>
          <w:rFonts w:ascii="Calibri" w:hAnsi="Calibri" w:cstheme="minorHAnsi"/>
          <w:sz w:val="24"/>
          <w:szCs w:val="24"/>
        </w:rPr>
        <w:t>"</w:t>
      </w:r>
      <w:r w:rsidR="00E0541A">
        <w:rPr>
          <w:rFonts w:ascii="Calibri" w:hAnsi="Calibri" w:cstheme="minorHAnsi"/>
          <w:sz w:val="24"/>
          <w:szCs w:val="24"/>
        </w:rPr>
        <w:t>.</w:t>
      </w:r>
      <w:r w:rsidR="00A25853" w:rsidRPr="00A25853">
        <w:rPr>
          <w:rFonts w:ascii="Calibri" w:hAnsi="Calibri" w:cstheme="minorHAnsi"/>
          <w:i/>
          <w:color w:val="000000" w:themeColor="text1"/>
          <w:sz w:val="20"/>
          <w:szCs w:val="20"/>
        </w:rPr>
        <w:t xml:space="preserve"> </w:t>
      </w:r>
    </w:p>
    <w:p w:rsidR="00AA6155" w:rsidRPr="00F00751" w:rsidRDefault="00AA6155" w:rsidP="00BB29DE">
      <w:pPr>
        <w:spacing w:after="0" w:line="240" w:lineRule="auto"/>
        <w:rPr>
          <w:rFonts w:ascii="Calibri" w:hAnsi="Calibri" w:cs="Times New Roman"/>
          <w:color w:val="2F5496" w:themeColor="accent5" w:themeShade="BF"/>
        </w:rPr>
      </w:pPr>
      <w:r w:rsidRPr="00F00751">
        <w:rPr>
          <w:rFonts w:ascii="Calibri" w:hAnsi="Calibri" w:cs="Times New Roman"/>
          <w:color w:val="2F5496" w:themeColor="accent5" w:themeShade="BF"/>
        </w:rPr>
        <w:t>___________</w:t>
      </w:r>
      <w:r>
        <w:rPr>
          <w:rFonts w:ascii="Calibri" w:hAnsi="Calibri" w:cs="Times New Roman"/>
          <w:color w:val="2F5496" w:themeColor="accent5" w:themeShade="BF"/>
        </w:rPr>
        <w:t>____________________________</w:t>
      </w:r>
      <w:r w:rsidRPr="00F00751">
        <w:rPr>
          <w:rFonts w:ascii="Calibri" w:hAnsi="Calibri" w:cs="Times New Roman"/>
          <w:color w:val="2F5496" w:themeColor="accent5" w:themeShade="BF"/>
        </w:rPr>
        <w:t>__________________________________________________________________________________</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689"/>
        <w:gridCol w:w="1603"/>
        <w:gridCol w:w="2399"/>
        <w:gridCol w:w="3109"/>
        <w:gridCol w:w="2880"/>
        <w:gridCol w:w="216"/>
      </w:tblGrid>
      <w:tr w:rsidR="00AA6155" w:rsidRPr="00643836" w:rsidTr="007D265C">
        <w:tc>
          <w:tcPr>
            <w:tcW w:w="4229" w:type="dxa"/>
            <w:gridSpan w:val="2"/>
            <w:tcBorders>
              <w:bottom w:val="single" w:sz="4" w:space="0" w:color="auto"/>
            </w:tcBorders>
          </w:tcPr>
          <w:p w:rsidR="00AA6155" w:rsidRPr="00643836" w:rsidRDefault="00AA6155" w:rsidP="00375BE9">
            <w:pPr>
              <w:rPr>
                <w:rFonts w:ascii="Calibri" w:hAnsi="Calibri" w:cstheme="minorHAnsi"/>
                <w:b/>
                <w:sz w:val="24"/>
                <w:szCs w:val="24"/>
              </w:rPr>
            </w:pPr>
            <w:r w:rsidRPr="00643836">
              <w:rPr>
                <w:rFonts w:ascii="Calibri" w:hAnsi="Calibri" w:cstheme="minorHAnsi"/>
                <w:b/>
                <w:sz w:val="24"/>
                <w:szCs w:val="24"/>
              </w:rPr>
              <w:t>Practice Name:</w:t>
            </w:r>
          </w:p>
        </w:tc>
        <w:tc>
          <w:tcPr>
            <w:tcW w:w="10207" w:type="dxa"/>
            <w:gridSpan w:val="5"/>
            <w:tcBorders>
              <w:bottom w:val="single" w:sz="4" w:space="0" w:color="auto"/>
            </w:tcBorders>
          </w:tcPr>
          <w:p w:rsidR="00AA6155" w:rsidRPr="00643836" w:rsidRDefault="00AA6155" w:rsidP="00375BE9">
            <w:pPr>
              <w:rPr>
                <w:rFonts w:ascii="Calibri" w:hAnsi="Calibri" w:cstheme="minorHAnsi"/>
                <w:b/>
                <w:sz w:val="24"/>
                <w:szCs w:val="24"/>
              </w:rPr>
            </w:pPr>
          </w:p>
        </w:tc>
      </w:tr>
      <w:tr w:rsidR="00AA6155" w:rsidRPr="00643836" w:rsidTr="007D265C">
        <w:tc>
          <w:tcPr>
            <w:tcW w:w="4229" w:type="dxa"/>
            <w:gridSpan w:val="2"/>
            <w:tcBorders>
              <w:top w:val="single" w:sz="4" w:space="0" w:color="auto"/>
              <w:bottom w:val="single" w:sz="4" w:space="0" w:color="auto"/>
            </w:tcBorders>
          </w:tcPr>
          <w:p w:rsidR="00AA6155" w:rsidRPr="00643836" w:rsidRDefault="00AA6155" w:rsidP="00643836">
            <w:pPr>
              <w:rPr>
                <w:rFonts w:ascii="Calibri" w:hAnsi="Calibri" w:cstheme="minorHAnsi"/>
                <w:b/>
                <w:sz w:val="24"/>
                <w:szCs w:val="24"/>
              </w:rPr>
            </w:pPr>
            <w:r w:rsidRPr="00643836">
              <w:rPr>
                <w:rFonts w:ascii="Calibri" w:hAnsi="Calibri" w:cstheme="minorHAnsi"/>
                <w:b/>
                <w:sz w:val="24"/>
                <w:szCs w:val="24"/>
              </w:rPr>
              <w:t>Reviewed  Check list with name/s):</w:t>
            </w:r>
          </w:p>
        </w:tc>
        <w:tc>
          <w:tcPr>
            <w:tcW w:w="10207" w:type="dxa"/>
            <w:gridSpan w:val="5"/>
            <w:tcBorders>
              <w:top w:val="single" w:sz="4" w:space="0" w:color="auto"/>
              <w:bottom w:val="single" w:sz="4" w:space="0" w:color="auto"/>
            </w:tcBorders>
          </w:tcPr>
          <w:p w:rsidR="00AA6155" w:rsidRPr="00643836" w:rsidRDefault="00DC60EC" w:rsidP="00E0541A">
            <w:pPr>
              <w:rPr>
                <w:rFonts w:ascii="Calibri" w:hAnsi="Calibri" w:cstheme="minorHAnsi"/>
                <w:b/>
                <w:sz w:val="24"/>
                <w:szCs w:val="24"/>
              </w:rPr>
            </w:pPr>
            <w:r w:rsidRPr="00643836">
              <w:rPr>
                <w:rFonts w:ascii="Calibri" w:hAnsi="Calibri" w:cstheme="minorHAnsi"/>
                <w:b/>
                <w:sz w:val="24"/>
                <w:szCs w:val="24"/>
              </w:rPr>
              <w:t xml:space="preserve">                                                                                                        Date(s) Reviewed:</w:t>
            </w:r>
          </w:p>
        </w:tc>
      </w:tr>
      <w:tr w:rsidR="00AA6155" w:rsidRPr="00643836" w:rsidTr="007D265C">
        <w:tc>
          <w:tcPr>
            <w:tcW w:w="4229" w:type="dxa"/>
            <w:gridSpan w:val="2"/>
            <w:tcBorders>
              <w:top w:val="single" w:sz="4" w:space="0" w:color="auto"/>
              <w:bottom w:val="single" w:sz="4" w:space="0" w:color="auto"/>
            </w:tcBorders>
          </w:tcPr>
          <w:p w:rsidR="00AA6155" w:rsidRPr="00643836" w:rsidRDefault="0004263B" w:rsidP="00375BE9">
            <w:pPr>
              <w:rPr>
                <w:rFonts w:ascii="Calibri" w:hAnsi="Calibri" w:cstheme="minorHAnsi"/>
                <w:b/>
                <w:sz w:val="24"/>
                <w:szCs w:val="24"/>
              </w:rPr>
            </w:pPr>
            <w:r>
              <w:rPr>
                <w:rFonts w:ascii="Calibri" w:hAnsi="Calibri" w:cstheme="minorHAnsi"/>
                <w:b/>
                <w:sz w:val="24"/>
                <w:szCs w:val="24"/>
              </w:rPr>
              <w:t>Practice Facilitator</w:t>
            </w:r>
            <w:r w:rsidR="002506F5">
              <w:rPr>
                <w:rFonts w:ascii="Calibri" w:hAnsi="Calibri" w:cstheme="minorHAnsi"/>
                <w:b/>
                <w:sz w:val="24"/>
                <w:szCs w:val="24"/>
              </w:rPr>
              <w:t>(s)</w:t>
            </w:r>
            <w:r w:rsidR="00AA6155" w:rsidRPr="00643836">
              <w:rPr>
                <w:rFonts w:ascii="Calibri" w:hAnsi="Calibri" w:cstheme="minorHAnsi"/>
                <w:b/>
                <w:sz w:val="24"/>
                <w:szCs w:val="24"/>
              </w:rPr>
              <w:t>:</w:t>
            </w:r>
          </w:p>
        </w:tc>
        <w:tc>
          <w:tcPr>
            <w:tcW w:w="10207" w:type="dxa"/>
            <w:gridSpan w:val="5"/>
            <w:tcBorders>
              <w:top w:val="single" w:sz="4" w:space="0" w:color="auto"/>
              <w:bottom w:val="single" w:sz="4" w:space="0" w:color="auto"/>
            </w:tcBorders>
          </w:tcPr>
          <w:p w:rsidR="009235D3" w:rsidRPr="005C37DB" w:rsidRDefault="0004263B" w:rsidP="009235D3">
            <w:pPr>
              <w:pStyle w:val="NoSpacing"/>
              <w:rPr>
                <w:rFonts w:ascii="Calibri" w:hAnsi="Calibri" w:cstheme="minorHAnsi"/>
                <w:sz w:val="24"/>
                <w:szCs w:val="24"/>
              </w:rPr>
            </w:pPr>
            <w:r>
              <w:rPr>
                <w:rFonts w:ascii="Calibri" w:hAnsi="Calibri" w:cstheme="minorHAnsi"/>
                <w:sz w:val="24"/>
                <w:szCs w:val="24"/>
              </w:rPr>
              <w:t xml:space="preserve">Putney </w:t>
            </w:r>
            <w:proofErr w:type="spellStart"/>
            <w:r>
              <w:rPr>
                <w:rFonts w:ascii="Calibri" w:hAnsi="Calibri" w:cstheme="minorHAnsi"/>
                <w:sz w:val="24"/>
                <w:szCs w:val="24"/>
              </w:rPr>
              <w:t>Pyles</w:t>
            </w:r>
            <w:proofErr w:type="spellEnd"/>
            <w:r>
              <w:rPr>
                <w:rFonts w:ascii="Calibri" w:hAnsi="Calibri" w:cstheme="minorHAnsi"/>
                <w:sz w:val="24"/>
                <w:szCs w:val="24"/>
              </w:rPr>
              <w:t xml:space="preserve"> </w:t>
            </w:r>
            <w:r w:rsidRPr="005C37DB">
              <w:rPr>
                <w:rFonts w:ascii="Calibri" w:hAnsi="Calibri" w:cstheme="minorHAnsi"/>
                <w:sz w:val="24"/>
                <w:szCs w:val="24"/>
              </w:rPr>
              <w:t>(</w:t>
            </w:r>
            <w:hyperlink r:id="rId9" w:history="1">
              <w:r w:rsidRPr="005C37DB">
                <w:rPr>
                  <w:sz w:val="24"/>
                  <w:szCs w:val="24"/>
                </w:rPr>
                <w:t>ppyles@healthcentricadvisors.org</w:t>
              </w:r>
            </w:hyperlink>
            <w:r w:rsidR="002506F5">
              <w:rPr>
                <w:rFonts w:ascii="Calibri" w:hAnsi="Calibri" w:cstheme="minorHAnsi"/>
                <w:sz w:val="24"/>
                <w:szCs w:val="24"/>
              </w:rPr>
              <w:t>)</w:t>
            </w:r>
            <w:r w:rsidR="005C37DB">
              <w:rPr>
                <w:rFonts w:ascii="Calibri" w:hAnsi="Calibri" w:cstheme="minorHAnsi"/>
                <w:sz w:val="24"/>
                <w:szCs w:val="24"/>
              </w:rPr>
              <w:t>,</w:t>
            </w:r>
            <w:r w:rsidR="001C2023">
              <w:rPr>
                <w:rFonts w:ascii="Calibri" w:hAnsi="Calibri" w:cstheme="minorHAnsi"/>
                <w:sz w:val="24"/>
                <w:szCs w:val="24"/>
              </w:rPr>
              <w:t xml:space="preserve"> Vicki </w:t>
            </w:r>
            <w:proofErr w:type="spellStart"/>
            <w:r w:rsidR="001C2023">
              <w:rPr>
                <w:rFonts w:ascii="Calibri" w:hAnsi="Calibri" w:cstheme="minorHAnsi"/>
                <w:sz w:val="24"/>
                <w:szCs w:val="24"/>
              </w:rPr>
              <w:t>Crowningshield</w:t>
            </w:r>
            <w:proofErr w:type="spellEnd"/>
            <w:r w:rsidR="001C2023">
              <w:rPr>
                <w:rFonts w:ascii="Calibri" w:hAnsi="Calibri" w:cstheme="minorHAnsi"/>
                <w:sz w:val="24"/>
                <w:szCs w:val="24"/>
              </w:rPr>
              <w:t xml:space="preserve"> (</w:t>
            </w:r>
            <w:hyperlink r:id="rId10" w:history="1">
              <w:r w:rsidR="001C2023" w:rsidRPr="005C37DB">
                <w:rPr>
                  <w:sz w:val="24"/>
                  <w:szCs w:val="24"/>
                </w:rPr>
                <w:t>vcrowningshield@healthcentricadvisors.org</w:t>
              </w:r>
            </w:hyperlink>
            <w:r w:rsidR="001C2023">
              <w:rPr>
                <w:rFonts w:ascii="Calibri" w:hAnsi="Calibri" w:cstheme="minorHAnsi"/>
                <w:sz w:val="24"/>
                <w:szCs w:val="24"/>
              </w:rPr>
              <w:t>)</w:t>
            </w:r>
            <w:r w:rsidR="005C37DB">
              <w:rPr>
                <w:rFonts w:ascii="Calibri" w:hAnsi="Calibri" w:cstheme="minorHAnsi"/>
                <w:sz w:val="24"/>
                <w:szCs w:val="24"/>
              </w:rPr>
              <w:t>,</w:t>
            </w:r>
            <w:r w:rsidR="001C2023">
              <w:rPr>
                <w:rFonts w:ascii="Calibri" w:hAnsi="Calibri" w:cstheme="minorHAnsi"/>
                <w:sz w:val="24"/>
                <w:szCs w:val="24"/>
              </w:rPr>
              <w:t xml:space="preserve"> </w:t>
            </w:r>
            <w:r w:rsidR="005C37DB">
              <w:rPr>
                <w:rFonts w:ascii="Calibri" w:hAnsi="Calibri" w:cstheme="minorHAnsi"/>
                <w:sz w:val="24"/>
                <w:szCs w:val="24"/>
              </w:rPr>
              <w:t>Suzanne Herzberg (</w:t>
            </w:r>
            <w:hyperlink r:id="rId11" w:history="1">
              <w:r w:rsidR="009235D3" w:rsidRPr="005C37DB">
                <w:rPr>
                  <w:rFonts w:ascii="Calibri" w:hAnsi="Calibri" w:cstheme="minorHAnsi"/>
                  <w:sz w:val="24"/>
                  <w:szCs w:val="24"/>
                </w:rPr>
                <w:t>Suzanne_Herzberg@brown.edu</w:t>
              </w:r>
            </w:hyperlink>
            <w:r w:rsidR="005C37DB">
              <w:rPr>
                <w:rFonts w:ascii="Calibri" w:hAnsi="Calibri" w:cstheme="minorHAnsi"/>
                <w:sz w:val="24"/>
                <w:szCs w:val="24"/>
              </w:rPr>
              <w:t>)</w:t>
            </w:r>
            <w:r w:rsidR="009235D3" w:rsidRPr="005C37DB">
              <w:rPr>
                <w:rFonts w:ascii="Calibri" w:hAnsi="Calibri" w:cstheme="minorHAnsi"/>
                <w:sz w:val="24"/>
                <w:szCs w:val="24"/>
              </w:rPr>
              <w:t xml:space="preserve">, </w:t>
            </w:r>
          </w:p>
          <w:p w:rsidR="00AA6155" w:rsidRDefault="005C37DB" w:rsidP="009235D3">
            <w:pPr>
              <w:pStyle w:val="NoSpacing"/>
              <w:rPr>
                <w:rFonts w:ascii="Calibri" w:hAnsi="Calibri" w:cstheme="minorHAnsi"/>
                <w:sz w:val="24"/>
                <w:szCs w:val="24"/>
              </w:rPr>
            </w:pPr>
            <w:r>
              <w:rPr>
                <w:rFonts w:ascii="Calibri" w:hAnsi="Calibri" w:cstheme="minorHAnsi"/>
                <w:sz w:val="24"/>
                <w:szCs w:val="24"/>
              </w:rPr>
              <w:t xml:space="preserve">Jayne </w:t>
            </w:r>
            <w:proofErr w:type="spellStart"/>
            <w:r>
              <w:rPr>
                <w:rFonts w:ascii="Calibri" w:hAnsi="Calibri" w:cstheme="minorHAnsi"/>
                <w:sz w:val="24"/>
                <w:szCs w:val="24"/>
              </w:rPr>
              <w:t>Daylor</w:t>
            </w:r>
            <w:proofErr w:type="spellEnd"/>
            <w:r w:rsidR="009235D3" w:rsidRPr="005C37DB">
              <w:rPr>
                <w:rFonts w:ascii="Calibri" w:hAnsi="Calibri" w:cstheme="minorHAnsi"/>
                <w:sz w:val="24"/>
                <w:szCs w:val="24"/>
              </w:rPr>
              <w:t xml:space="preserve"> </w:t>
            </w:r>
            <w:r>
              <w:rPr>
                <w:rFonts w:ascii="Calibri" w:hAnsi="Calibri" w:cstheme="minorHAnsi"/>
                <w:sz w:val="24"/>
                <w:szCs w:val="24"/>
              </w:rPr>
              <w:t>(</w:t>
            </w:r>
            <w:hyperlink r:id="rId12" w:history="1">
              <w:r w:rsidR="009235D3" w:rsidRPr="005C37DB">
                <w:rPr>
                  <w:rFonts w:ascii="Calibri" w:hAnsi="Calibri" w:cstheme="minorHAnsi"/>
                  <w:sz w:val="24"/>
                  <w:szCs w:val="24"/>
                </w:rPr>
                <w:t>sdaylor@cox.net</w:t>
              </w:r>
            </w:hyperlink>
            <w:r>
              <w:rPr>
                <w:rFonts w:ascii="Calibri" w:hAnsi="Calibri" w:cstheme="minorHAnsi"/>
                <w:sz w:val="24"/>
                <w:szCs w:val="24"/>
              </w:rPr>
              <w:t>)</w:t>
            </w:r>
          </w:p>
          <w:p w:rsidR="009235D3" w:rsidRPr="005C37DB" w:rsidRDefault="009235D3" w:rsidP="009235D3">
            <w:pPr>
              <w:pStyle w:val="NoSpacing"/>
              <w:rPr>
                <w:rFonts w:ascii="Calibri" w:hAnsi="Calibri" w:cstheme="minorHAnsi"/>
                <w:sz w:val="24"/>
                <w:szCs w:val="24"/>
              </w:rPr>
            </w:pPr>
          </w:p>
          <w:p w:rsidR="001C2023" w:rsidRPr="00643836" w:rsidRDefault="001C2023" w:rsidP="00FE432F">
            <w:pPr>
              <w:rPr>
                <w:rFonts w:ascii="Calibri" w:hAnsi="Calibri" w:cstheme="minorHAnsi"/>
                <w:sz w:val="24"/>
                <w:szCs w:val="24"/>
              </w:rPr>
            </w:pPr>
          </w:p>
        </w:tc>
      </w:tr>
      <w:tr w:rsidR="00AA6155" w:rsidRPr="00643836" w:rsidTr="007D265C">
        <w:tc>
          <w:tcPr>
            <w:tcW w:w="4229" w:type="dxa"/>
            <w:gridSpan w:val="2"/>
            <w:tcBorders>
              <w:top w:val="single" w:sz="4" w:space="0" w:color="auto"/>
              <w:bottom w:val="single" w:sz="4" w:space="0" w:color="auto"/>
            </w:tcBorders>
          </w:tcPr>
          <w:p w:rsidR="00AA6155" w:rsidRPr="00643836" w:rsidRDefault="00AA6155" w:rsidP="00375BE9">
            <w:pPr>
              <w:rPr>
                <w:rFonts w:ascii="Calibri" w:hAnsi="Calibri" w:cstheme="minorHAnsi"/>
                <w:b/>
                <w:sz w:val="24"/>
                <w:szCs w:val="24"/>
              </w:rPr>
            </w:pPr>
            <w:r w:rsidRPr="00643836">
              <w:rPr>
                <w:rFonts w:ascii="Calibri" w:hAnsi="Calibri" w:cstheme="minorHAnsi"/>
                <w:b/>
                <w:sz w:val="24"/>
                <w:szCs w:val="24"/>
              </w:rPr>
              <w:t xml:space="preserve">Current NCQA Level / Expiration: </w:t>
            </w:r>
          </w:p>
        </w:tc>
        <w:tc>
          <w:tcPr>
            <w:tcW w:w="10207" w:type="dxa"/>
            <w:gridSpan w:val="5"/>
            <w:tcBorders>
              <w:top w:val="single" w:sz="4" w:space="0" w:color="auto"/>
              <w:bottom w:val="single" w:sz="4" w:space="0" w:color="auto"/>
            </w:tcBorders>
          </w:tcPr>
          <w:p w:rsidR="00E0541A" w:rsidRPr="00643836" w:rsidRDefault="00E0541A" w:rsidP="00375BE9">
            <w:pPr>
              <w:rPr>
                <w:rFonts w:ascii="Calibri" w:hAnsi="Calibri" w:cstheme="minorHAnsi"/>
                <w:b/>
                <w:sz w:val="24"/>
                <w:szCs w:val="24"/>
              </w:rPr>
            </w:pPr>
            <w:r w:rsidRPr="00643836">
              <w:rPr>
                <w:rFonts w:ascii="Calibri" w:hAnsi="Calibri" w:cstheme="minorHAnsi"/>
                <w:b/>
                <w:sz w:val="24"/>
                <w:szCs w:val="24"/>
              </w:rPr>
              <w:t xml:space="preserve">                                                                                                         </w:t>
            </w:r>
            <w:r w:rsidR="00DC60EC" w:rsidRPr="00643836">
              <w:rPr>
                <w:rFonts w:ascii="Calibri" w:hAnsi="Calibri" w:cstheme="minorHAnsi"/>
                <w:b/>
                <w:sz w:val="24"/>
                <w:szCs w:val="24"/>
              </w:rPr>
              <w:t>EHR Vendor/ Version:</w:t>
            </w:r>
          </w:p>
        </w:tc>
      </w:tr>
      <w:tr w:rsidR="00AA6155" w:rsidRPr="00643836" w:rsidTr="007D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540" w:type="dxa"/>
            <w:shd w:val="clear" w:color="auto" w:fill="D9E2F3" w:themeFill="accent5" w:themeFillTint="33"/>
          </w:tcPr>
          <w:p w:rsidR="00AA6155" w:rsidRPr="00643836" w:rsidRDefault="00AA6155" w:rsidP="00375BE9">
            <w:pPr>
              <w:rPr>
                <w:rFonts w:ascii="Calibri" w:hAnsi="Calibri" w:cstheme="minorHAnsi"/>
                <w:sz w:val="24"/>
                <w:szCs w:val="24"/>
              </w:rPr>
            </w:pPr>
          </w:p>
        </w:tc>
        <w:tc>
          <w:tcPr>
            <w:tcW w:w="7691" w:type="dxa"/>
            <w:gridSpan w:val="3"/>
            <w:shd w:val="clear" w:color="auto" w:fill="D9E2F3" w:themeFill="accent5" w:themeFillTint="33"/>
          </w:tcPr>
          <w:p w:rsidR="00AA6155" w:rsidRPr="00643836" w:rsidRDefault="00AA6155" w:rsidP="00375BE9">
            <w:pPr>
              <w:rPr>
                <w:rFonts w:ascii="Calibri" w:hAnsi="Calibri"/>
                <w:b/>
                <w:color w:val="000000"/>
                <w:sz w:val="24"/>
                <w:szCs w:val="24"/>
              </w:rPr>
            </w:pPr>
            <w:r w:rsidRPr="00643836">
              <w:rPr>
                <w:rFonts w:ascii="Calibri" w:hAnsi="Calibri"/>
                <w:b/>
                <w:color w:val="000000"/>
                <w:sz w:val="24"/>
                <w:szCs w:val="24"/>
              </w:rPr>
              <w:t>Important Steps</w:t>
            </w:r>
          </w:p>
        </w:tc>
        <w:tc>
          <w:tcPr>
            <w:tcW w:w="6205" w:type="dxa"/>
            <w:gridSpan w:val="3"/>
            <w:shd w:val="clear" w:color="auto" w:fill="D9E2F3" w:themeFill="accent5" w:themeFillTint="33"/>
          </w:tcPr>
          <w:p w:rsidR="00AA6155" w:rsidRPr="00643836" w:rsidRDefault="00AA6155" w:rsidP="00375BE9">
            <w:pPr>
              <w:rPr>
                <w:rFonts w:ascii="Calibri" w:hAnsi="Calibri"/>
                <w:b/>
                <w:color w:val="000000"/>
                <w:sz w:val="24"/>
                <w:szCs w:val="24"/>
              </w:rPr>
            </w:pPr>
            <w:r w:rsidRPr="00643836">
              <w:rPr>
                <w:rFonts w:ascii="Calibri" w:hAnsi="Calibri"/>
                <w:b/>
                <w:color w:val="000000"/>
                <w:sz w:val="24"/>
                <w:szCs w:val="24"/>
              </w:rPr>
              <w:t>Notes/ Planning / Timeline</w:t>
            </w:r>
          </w:p>
        </w:tc>
      </w:tr>
      <w:bookmarkStart w:id="1" w:name="Check38"/>
      <w:tr w:rsidR="00AA6155" w:rsidRPr="00643836" w:rsidTr="007D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Pr>
          <w:p w:rsidR="00AA6155" w:rsidRPr="00643836" w:rsidRDefault="00AA6155" w:rsidP="00375BE9">
            <w:pPr>
              <w:jc w:val="center"/>
              <w:rPr>
                <w:rFonts w:ascii="Calibri" w:hAnsi="Calibri" w:cstheme="minorHAnsi"/>
                <w:sz w:val="24"/>
                <w:szCs w:val="24"/>
              </w:rPr>
            </w:pPr>
            <w:r w:rsidRPr="00643836">
              <w:rPr>
                <w:rFonts w:ascii="Calibri" w:hAnsi="Calibri" w:cs="Tahoma"/>
                <w:sz w:val="24"/>
                <w:szCs w:val="24"/>
              </w:rPr>
              <w:fldChar w:fldCharType="begin">
                <w:ffData>
                  <w:name w:val="Check38"/>
                  <w:enabled/>
                  <w:calcOnExit w:val="0"/>
                  <w:checkBox>
                    <w:sizeAuto/>
                    <w:default w:val="0"/>
                  </w:checkBox>
                </w:ffData>
              </w:fldChar>
            </w:r>
            <w:r w:rsidRPr="00643836">
              <w:rPr>
                <w:rFonts w:ascii="Calibri" w:hAnsi="Calibri" w:cs="Tahoma"/>
                <w:sz w:val="24"/>
                <w:szCs w:val="24"/>
              </w:rPr>
              <w:instrText xml:space="preserve"> FORMCHECKBOX </w:instrText>
            </w:r>
            <w:r w:rsidR="007D265C">
              <w:rPr>
                <w:rFonts w:ascii="Calibri" w:hAnsi="Calibri" w:cs="Tahoma"/>
                <w:sz w:val="24"/>
                <w:szCs w:val="24"/>
              </w:rPr>
            </w:r>
            <w:r w:rsidR="007D265C">
              <w:rPr>
                <w:rFonts w:ascii="Calibri" w:hAnsi="Calibri" w:cs="Tahoma"/>
                <w:sz w:val="24"/>
                <w:szCs w:val="24"/>
              </w:rPr>
              <w:fldChar w:fldCharType="separate"/>
            </w:r>
            <w:r w:rsidRPr="00643836">
              <w:rPr>
                <w:rFonts w:ascii="Calibri" w:hAnsi="Calibri" w:cs="Tahoma"/>
                <w:sz w:val="24"/>
                <w:szCs w:val="24"/>
              </w:rPr>
              <w:fldChar w:fldCharType="end"/>
            </w:r>
            <w:bookmarkEnd w:id="1"/>
          </w:p>
        </w:tc>
        <w:tc>
          <w:tcPr>
            <w:tcW w:w="7691" w:type="dxa"/>
            <w:gridSpan w:val="3"/>
          </w:tcPr>
          <w:p w:rsidR="00AA6155" w:rsidRPr="00643836" w:rsidRDefault="00AA6155" w:rsidP="00375BE9">
            <w:pPr>
              <w:rPr>
                <w:color w:val="000000"/>
                <w:sz w:val="24"/>
                <w:szCs w:val="24"/>
              </w:rPr>
            </w:pPr>
            <w:r w:rsidRPr="00643836">
              <w:rPr>
                <w:b/>
                <w:color w:val="000000"/>
                <w:sz w:val="24"/>
                <w:szCs w:val="24"/>
              </w:rPr>
              <w:t>Define roles, responsibilities and processes for</w:t>
            </w:r>
            <w:r w:rsidRPr="00643836">
              <w:rPr>
                <w:color w:val="000000"/>
                <w:sz w:val="24"/>
                <w:szCs w:val="24"/>
              </w:rPr>
              <w:t>:</w:t>
            </w:r>
          </w:p>
          <w:p w:rsidR="008E0362" w:rsidRDefault="008E0362" w:rsidP="00375BE9">
            <w:pPr>
              <w:pStyle w:val="ListParagraph"/>
              <w:numPr>
                <w:ilvl w:val="0"/>
                <w:numId w:val="4"/>
              </w:numPr>
              <w:ind w:left="775"/>
              <w:rPr>
                <w:color w:val="000000"/>
                <w:sz w:val="24"/>
                <w:szCs w:val="24"/>
              </w:rPr>
            </w:pPr>
            <w:r>
              <w:rPr>
                <w:color w:val="000000"/>
                <w:sz w:val="24"/>
                <w:szCs w:val="24"/>
              </w:rPr>
              <w:t>Practice to check with System of Care/ACO to determine what support will be provided to practice (ex. NCQA support)</w:t>
            </w:r>
          </w:p>
          <w:p w:rsidR="00AA6155" w:rsidRPr="00643836" w:rsidRDefault="00AA6155" w:rsidP="00375BE9">
            <w:pPr>
              <w:pStyle w:val="ListParagraph"/>
              <w:numPr>
                <w:ilvl w:val="0"/>
                <w:numId w:val="4"/>
              </w:numPr>
              <w:ind w:left="775"/>
              <w:rPr>
                <w:color w:val="000000"/>
                <w:sz w:val="24"/>
                <w:szCs w:val="24"/>
              </w:rPr>
            </w:pPr>
            <w:r w:rsidRPr="00643836">
              <w:rPr>
                <w:color w:val="000000"/>
                <w:sz w:val="24"/>
                <w:szCs w:val="24"/>
              </w:rPr>
              <w:t xml:space="preserve">Attend Practice Reporting </w:t>
            </w:r>
            <w:r w:rsidR="001C2023">
              <w:rPr>
                <w:color w:val="000000"/>
                <w:sz w:val="24"/>
                <w:szCs w:val="24"/>
              </w:rPr>
              <w:t>&amp; Transformation</w:t>
            </w:r>
            <w:r w:rsidRPr="00643836">
              <w:rPr>
                <w:color w:val="000000"/>
                <w:sz w:val="24"/>
                <w:szCs w:val="24"/>
              </w:rPr>
              <w:t xml:space="preserve"> </w:t>
            </w:r>
            <w:r w:rsidR="001C2023">
              <w:rPr>
                <w:color w:val="000000"/>
                <w:sz w:val="24"/>
                <w:szCs w:val="24"/>
              </w:rPr>
              <w:t>M</w:t>
            </w:r>
            <w:r w:rsidRPr="00643836">
              <w:rPr>
                <w:color w:val="000000"/>
                <w:sz w:val="24"/>
                <w:szCs w:val="24"/>
              </w:rPr>
              <w:t>eetings</w:t>
            </w:r>
            <w:r w:rsidR="008E0362">
              <w:rPr>
                <w:color w:val="000000"/>
                <w:sz w:val="24"/>
                <w:szCs w:val="24"/>
              </w:rPr>
              <w:t xml:space="preserve"> to stay current on project expectations</w:t>
            </w:r>
            <w:r w:rsidRPr="00643836">
              <w:rPr>
                <w:color w:val="000000"/>
                <w:sz w:val="24"/>
                <w:szCs w:val="24"/>
              </w:rPr>
              <w:t>: ________________</w:t>
            </w:r>
          </w:p>
          <w:p w:rsidR="00AA6155" w:rsidRPr="00643836" w:rsidRDefault="00AA6155" w:rsidP="00375BE9">
            <w:pPr>
              <w:pStyle w:val="ListParagraph"/>
              <w:numPr>
                <w:ilvl w:val="0"/>
                <w:numId w:val="4"/>
              </w:numPr>
              <w:ind w:left="775"/>
              <w:rPr>
                <w:color w:val="000000"/>
                <w:sz w:val="24"/>
                <w:szCs w:val="24"/>
              </w:rPr>
            </w:pPr>
            <w:r w:rsidRPr="00643836">
              <w:rPr>
                <w:color w:val="000000"/>
                <w:sz w:val="24"/>
                <w:szCs w:val="24"/>
              </w:rPr>
              <w:t>Develop and generate EHR reports: __________________________</w:t>
            </w:r>
          </w:p>
          <w:p w:rsidR="007F2114" w:rsidRPr="007F2114" w:rsidRDefault="00AA6155" w:rsidP="007F2114">
            <w:pPr>
              <w:pStyle w:val="ListParagraph"/>
              <w:numPr>
                <w:ilvl w:val="0"/>
                <w:numId w:val="4"/>
              </w:numPr>
              <w:ind w:left="775"/>
              <w:rPr>
                <w:color w:val="000000"/>
                <w:sz w:val="24"/>
                <w:szCs w:val="24"/>
              </w:rPr>
            </w:pPr>
            <w:r w:rsidRPr="00643836">
              <w:rPr>
                <w:color w:val="000000"/>
                <w:sz w:val="24"/>
                <w:szCs w:val="24"/>
              </w:rPr>
              <w:t>Report to CTC</w:t>
            </w:r>
            <w:r w:rsidR="001C2023">
              <w:rPr>
                <w:color w:val="000000"/>
                <w:sz w:val="24"/>
                <w:szCs w:val="24"/>
              </w:rPr>
              <w:t xml:space="preserve"> quarterly</w:t>
            </w:r>
            <w:r w:rsidR="008E0362">
              <w:rPr>
                <w:color w:val="000000"/>
                <w:sz w:val="24"/>
                <w:szCs w:val="24"/>
              </w:rPr>
              <w:t xml:space="preserve"> on quality measures and high-risk patient engagement</w:t>
            </w:r>
            <w:r w:rsidRPr="00643836">
              <w:rPr>
                <w:color w:val="000000"/>
                <w:sz w:val="24"/>
                <w:szCs w:val="24"/>
              </w:rPr>
              <w:t>: _______________________________________</w:t>
            </w:r>
          </w:p>
          <w:p w:rsidR="00AA6155" w:rsidRPr="00643836" w:rsidRDefault="00AA6155" w:rsidP="00375BE9">
            <w:pPr>
              <w:pStyle w:val="ListParagraph"/>
              <w:numPr>
                <w:ilvl w:val="0"/>
                <w:numId w:val="4"/>
              </w:numPr>
              <w:ind w:left="775"/>
              <w:rPr>
                <w:color w:val="000000"/>
                <w:sz w:val="24"/>
                <w:szCs w:val="24"/>
              </w:rPr>
            </w:pPr>
            <w:r w:rsidRPr="00643836">
              <w:rPr>
                <w:color w:val="000000"/>
                <w:sz w:val="24"/>
                <w:szCs w:val="24"/>
              </w:rPr>
              <w:t>Disseminate results within practice: __________________________</w:t>
            </w:r>
          </w:p>
          <w:p w:rsidR="00AA6155" w:rsidRPr="00643836" w:rsidRDefault="00AA6155" w:rsidP="00375BE9">
            <w:pPr>
              <w:pStyle w:val="ListParagraph"/>
              <w:numPr>
                <w:ilvl w:val="0"/>
                <w:numId w:val="4"/>
              </w:numPr>
              <w:ind w:left="775"/>
              <w:rPr>
                <w:color w:val="000000"/>
                <w:sz w:val="24"/>
                <w:szCs w:val="24"/>
              </w:rPr>
            </w:pPr>
            <w:r w:rsidRPr="00643836">
              <w:rPr>
                <w:color w:val="000000"/>
                <w:sz w:val="24"/>
                <w:szCs w:val="24"/>
              </w:rPr>
              <w:t>Use results to drive quality improvement activities within practice</w:t>
            </w:r>
          </w:p>
        </w:tc>
        <w:tc>
          <w:tcPr>
            <w:tcW w:w="6205" w:type="dxa"/>
            <w:gridSpan w:val="3"/>
          </w:tcPr>
          <w:p w:rsidR="00AA6155" w:rsidRDefault="00AA6155" w:rsidP="00375BE9">
            <w:pPr>
              <w:rPr>
                <w:rFonts w:ascii="Calibri" w:hAnsi="Calibri"/>
                <w:color w:val="000000"/>
                <w:sz w:val="24"/>
                <w:szCs w:val="24"/>
              </w:rPr>
            </w:pPr>
          </w:p>
          <w:p w:rsidR="00643836" w:rsidRDefault="00643836" w:rsidP="00375BE9">
            <w:pPr>
              <w:rPr>
                <w:rFonts w:ascii="Calibri" w:hAnsi="Calibri"/>
                <w:color w:val="000000"/>
                <w:sz w:val="24"/>
                <w:szCs w:val="24"/>
              </w:rPr>
            </w:pPr>
          </w:p>
          <w:p w:rsidR="00643836" w:rsidRDefault="00643836" w:rsidP="00375BE9">
            <w:pPr>
              <w:rPr>
                <w:rFonts w:ascii="Calibri" w:hAnsi="Calibri"/>
                <w:color w:val="000000"/>
                <w:sz w:val="24"/>
                <w:szCs w:val="24"/>
              </w:rPr>
            </w:pPr>
          </w:p>
          <w:p w:rsidR="00643836" w:rsidRDefault="00643836" w:rsidP="00375BE9">
            <w:pPr>
              <w:rPr>
                <w:rFonts w:ascii="Calibri" w:hAnsi="Calibri"/>
                <w:color w:val="000000"/>
                <w:sz w:val="24"/>
                <w:szCs w:val="24"/>
              </w:rPr>
            </w:pPr>
          </w:p>
          <w:p w:rsidR="00643836" w:rsidRPr="00643836" w:rsidRDefault="00643836" w:rsidP="00375BE9">
            <w:pPr>
              <w:rPr>
                <w:rFonts w:ascii="Calibri" w:hAnsi="Calibri"/>
                <w:color w:val="000000"/>
                <w:sz w:val="24"/>
                <w:szCs w:val="24"/>
              </w:rPr>
            </w:pPr>
          </w:p>
        </w:tc>
      </w:tr>
      <w:tr w:rsidR="00440ACC" w:rsidRPr="00643836" w:rsidTr="007D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Pr>
          <w:p w:rsidR="00440ACC" w:rsidRPr="00643836" w:rsidRDefault="00440ACC" w:rsidP="00440ACC">
            <w:pPr>
              <w:jc w:val="center"/>
              <w:rPr>
                <w:rFonts w:ascii="Calibri" w:hAnsi="Calibri" w:cs="Tahoma"/>
                <w:sz w:val="24"/>
                <w:szCs w:val="24"/>
              </w:rPr>
            </w:pPr>
            <w:r w:rsidRPr="00643836">
              <w:rPr>
                <w:rFonts w:ascii="Calibri" w:hAnsi="Calibri" w:cs="Tahoma"/>
                <w:sz w:val="24"/>
                <w:szCs w:val="24"/>
              </w:rPr>
              <w:fldChar w:fldCharType="begin">
                <w:ffData>
                  <w:name w:val="Check38"/>
                  <w:enabled/>
                  <w:calcOnExit w:val="0"/>
                  <w:checkBox>
                    <w:sizeAuto/>
                    <w:default w:val="0"/>
                  </w:checkBox>
                </w:ffData>
              </w:fldChar>
            </w:r>
            <w:r w:rsidRPr="00643836">
              <w:rPr>
                <w:rFonts w:ascii="Calibri" w:hAnsi="Calibri" w:cs="Tahoma"/>
                <w:sz w:val="24"/>
                <w:szCs w:val="24"/>
              </w:rPr>
              <w:instrText xml:space="preserve"> FORMCHECKBOX </w:instrText>
            </w:r>
            <w:r w:rsidR="007D265C">
              <w:rPr>
                <w:rFonts w:ascii="Calibri" w:hAnsi="Calibri" w:cs="Tahoma"/>
                <w:sz w:val="24"/>
                <w:szCs w:val="24"/>
              </w:rPr>
            </w:r>
            <w:r w:rsidR="007D265C">
              <w:rPr>
                <w:rFonts w:ascii="Calibri" w:hAnsi="Calibri" w:cs="Tahoma"/>
                <w:sz w:val="24"/>
                <w:szCs w:val="24"/>
              </w:rPr>
              <w:fldChar w:fldCharType="separate"/>
            </w:r>
            <w:r w:rsidRPr="00643836">
              <w:rPr>
                <w:rFonts w:ascii="Calibri" w:hAnsi="Calibri" w:cs="Tahoma"/>
                <w:sz w:val="24"/>
                <w:szCs w:val="24"/>
              </w:rPr>
              <w:fldChar w:fldCharType="end"/>
            </w:r>
          </w:p>
        </w:tc>
        <w:tc>
          <w:tcPr>
            <w:tcW w:w="7691" w:type="dxa"/>
            <w:gridSpan w:val="3"/>
          </w:tcPr>
          <w:p w:rsidR="00440ACC" w:rsidRPr="00643836" w:rsidRDefault="00440ACC" w:rsidP="00440ACC">
            <w:pPr>
              <w:rPr>
                <w:color w:val="000000"/>
                <w:sz w:val="24"/>
                <w:szCs w:val="24"/>
              </w:rPr>
            </w:pPr>
            <w:r w:rsidRPr="00643836">
              <w:rPr>
                <w:b/>
                <w:color w:val="000000"/>
                <w:sz w:val="24"/>
                <w:szCs w:val="24"/>
              </w:rPr>
              <w:t>Understand measure definitions:</w:t>
            </w:r>
          </w:p>
          <w:p w:rsidR="00440ACC" w:rsidRPr="00643836" w:rsidRDefault="00440ACC" w:rsidP="00440ACC">
            <w:pPr>
              <w:pStyle w:val="ListParagraph"/>
              <w:numPr>
                <w:ilvl w:val="0"/>
                <w:numId w:val="1"/>
              </w:numPr>
              <w:rPr>
                <w:color w:val="000000"/>
                <w:sz w:val="24"/>
                <w:szCs w:val="24"/>
              </w:rPr>
            </w:pPr>
            <w:r w:rsidRPr="00643836">
              <w:rPr>
                <w:color w:val="000000"/>
                <w:sz w:val="24"/>
                <w:szCs w:val="24"/>
              </w:rPr>
              <w:t>Review Measures</w:t>
            </w:r>
          </w:p>
          <w:p w:rsidR="00440ACC" w:rsidRPr="00643836" w:rsidRDefault="00440ACC" w:rsidP="00440ACC">
            <w:pPr>
              <w:pStyle w:val="ListParagraph"/>
              <w:numPr>
                <w:ilvl w:val="0"/>
                <w:numId w:val="1"/>
              </w:numPr>
              <w:rPr>
                <w:color w:val="000000"/>
                <w:sz w:val="24"/>
                <w:szCs w:val="24"/>
              </w:rPr>
            </w:pPr>
            <w:r w:rsidRPr="00643836">
              <w:rPr>
                <w:color w:val="000000"/>
                <w:sz w:val="24"/>
                <w:szCs w:val="24"/>
              </w:rPr>
              <w:t xml:space="preserve">Examine EHR reporting capabilities/ or pursue external vendor </w:t>
            </w:r>
          </w:p>
          <w:p w:rsidR="00440ACC" w:rsidRPr="00643836" w:rsidRDefault="00440ACC" w:rsidP="00440ACC">
            <w:pPr>
              <w:pStyle w:val="ListParagraph"/>
              <w:numPr>
                <w:ilvl w:val="0"/>
                <w:numId w:val="1"/>
              </w:numPr>
              <w:rPr>
                <w:color w:val="000000"/>
                <w:sz w:val="24"/>
                <w:szCs w:val="24"/>
              </w:rPr>
            </w:pPr>
            <w:r w:rsidRPr="00643836">
              <w:rPr>
                <w:color w:val="000000"/>
                <w:sz w:val="24"/>
                <w:szCs w:val="24"/>
              </w:rPr>
              <w:lastRenderedPageBreak/>
              <w:t>Identify and address any problems with EHR reporting capabilities</w:t>
            </w:r>
          </w:p>
          <w:p w:rsidR="00440ACC" w:rsidRDefault="00440ACC" w:rsidP="00440ACC">
            <w:pPr>
              <w:pStyle w:val="ListParagraph"/>
              <w:numPr>
                <w:ilvl w:val="0"/>
                <w:numId w:val="1"/>
              </w:numPr>
              <w:rPr>
                <w:color w:val="000000"/>
                <w:sz w:val="24"/>
                <w:szCs w:val="24"/>
              </w:rPr>
            </w:pPr>
            <w:r w:rsidRPr="00643836">
              <w:rPr>
                <w:color w:val="000000"/>
                <w:sz w:val="24"/>
                <w:szCs w:val="24"/>
              </w:rPr>
              <w:t xml:space="preserve">Develop reports – run test reports and examine for accuracy </w:t>
            </w:r>
          </w:p>
          <w:p w:rsidR="000B005A" w:rsidRDefault="000B005A" w:rsidP="008E0362">
            <w:pPr>
              <w:pStyle w:val="ListParagraph"/>
              <w:numPr>
                <w:ilvl w:val="0"/>
                <w:numId w:val="1"/>
              </w:numPr>
              <w:rPr>
                <w:color w:val="000000"/>
                <w:sz w:val="24"/>
                <w:szCs w:val="24"/>
              </w:rPr>
            </w:pPr>
            <w:r>
              <w:rPr>
                <w:color w:val="000000"/>
                <w:sz w:val="24"/>
                <w:szCs w:val="24"/>
              </w:rPr>
              <w:t xml:space="preserve">First time submission: generate reports </w:t>
            </w:r>
            <w:r w:rsidR="008E0362">
              <w:rPr>
                <w:color w:val="000000"/>
                <w:sz w:val="24"/>
                <w:szCs w:val="24"/>
              </w:rPr>
              <w:t>prior to</w:t>
            </w:r>
            <w:r w:rsidR="002506F5">
              <w:rPr>
                <w:color w:val="000000"/>
                <w:sz w:val="24"/>
                <w:szCs w:val="24"/>
              </w:rPr>
              <w:t xml:space="preserve"> </w:t>
            </w:r>
            <w:r w:rsidR="008E0362">
              <w:rPr>
                <w:color w:val="000000"/>
                <w:sz w:val="24"/>
                <w:szCs w:val="24"/>
              </w:rPr>
              <w:t>1</w:t>
            </w:r>
            <w:r w:rsidR="008E0362" w:rsidRPr="008E0362">
              <w:rPr>
                <w:color w:val="000000"/>
                <w:sz w:val="24"/>
                <w:szCs w:val="24"/>
                <w:vertAlign w:val="superscript"/>
              </w:rPr>
              <w:t>st</w:t>
            </w:r>
            <w:r w:rsidR="008E0362">
              <w:rPr>
                <w:color w:val="000000"/>
                <w:sz w:val="24"/>
                <w:szCs w:val="24"/>
              </w:rPr>
              <w:t xml:space="preserve"> reporting deadline</w:t>
            </w:r>
            <w:r w:rsidR="002506F5">
              <w:rPr>
                <w:color w:val="000000"/>
                <w:sz w:val="24"/>
                <w:szCs w:val="24"/>
              </w:rPr>
              <w:t xml:space="preserve">; meet with practice facilitator </w:t>
            </w:r>
            <w:r>
              <w:rPr>
                <w:color w:val="000000"/>
                <w:sz w:val="24"/>
                <w:szCs w:val="24"/>
              </w:rPr>
              <w:t>to discuss how report was generated to insure correct application of measurement specifications</w:t>
            </w:r>
          </w:p>
          <w:p w:rsidR="007F2114" w:rsidRPr="00CC7617" w:rsidRDefault="008E0362" w:rsidP="00CC7617">
            <w:pPr>
              <w:pStyle w:val="ListParagraph"/>
              <w:numPr>
                <w:ilvl w:val="0"/>
                <w:numId w:val="1"/>
              </w:numPr>
              <w:rPr>
                <w:color w:val="000000"/>
                <w:sz w:val="24"/>
                <w:szCs w:val="24"/>
              </w:rPr>
            </w:pPr>
            <w:r>
              <w:rPr>
                <w:color w:val="000000"/>
                <w:sz w:val="24"/>
                <w:szCs w:val="24"/>
              </w:rPr>
              <w:t xml:space="preserve">Following quarterly data submission to CTC, review performance with </w:t>
            </w:r>
            <w:r w:rsidR="00CC7617">
              <w:rPr>
                <w:color w:val="000000"/>
                <w:sz w:val="24"/>
                <w:szCs w:val="24"/>
              </w:rPr>
              <w:t>p</w:t>
            </w:r>
            <w:r>
              <w:rPr>
                <w:color w:val="000000"/>
                <w:sz w:val="24"/>
                <w:szCs w:val="24"/>
              </w:rPr>
              <w:t xml:space="preserve">ractice </w:t>
            </w:r>
            <w:r w:rsidR="00CC7617">
              <w:rPr>
                <w:color w:val="000000"/>
                <w:sz w:val="24"/>
                <w:szCs w:val="24"/>
              </w:rPr>
              <w:t>f</w:t>
            </w:r>
            <w:r>
              <w:rPr>
                <w:color w:val="000000"/>
                <w:sz w:val="24"/>
                <w:szCs w:val="24"/>
              </w:rPr>
              <w:t xml:space="preserve">acilitator to </w:t>
            </w:r>
            <w:r w:rsidR="00CC7617">
              <w:rPr>
                <w:color w:val="000000"/>
                <w:sz w:val="24"/>
                <w:szCs w:val="24"/>
              </w:rPr>
              <w:t xml:space="preserve">compare against defined benchmarks for each measure and </w:t>
            </w:r>
            <w:r>
              <w:rPr>
                <w:color w:val="000000"/>
                <w:sz w:val="24"/>
                <w:szCs w:val="24"/>
              </w:rPr>
              <w:t>identify areas for improvement (examples: does a workflow need to be changed, is documentation happening consistently and correctly)</w:t>
            </w:r>
            <w:r w:rsidR="00CC7617">
              <w:rPr>
                <w:color w:val="000000"/>
                <w:sz w:val="24"/>
                <w:szCs w:val="24"/>
              </w:rPr>
              <w:t>. Strategize on methods for improvement – PDSA, re-education of staff, etc.</w:t>
            </w:r>
          </w:p>
        </w:tc>
        <w:tc>
          <w:tcPr>
            <w:tcW w:w="6205" w:type="dxa"/>
            <w:gridSpan w:val="3"/>
          </w:tcPr>
          <w:p w:rsidR="001C2023" w:rsidRDefault="00440ACC" w:rsidP="001C2023">
            <w:pPr>
              <w:rPr>
                <w:sz w:val="24"/>
                <w:szCs w:val="24"/>
              </w:rPr>
            </w:pPr>
            <w:r w:rsidRPr="00643836">
              <w:rPr>
                <w:sz w:val="24"/>
                <w:szCs w:val="24"/>
              </w:rPr>
              <w:lastRenderedPageBreak/>
              <w:t xml:space="preserve">Any questions about quality measure specifications, please contact your </w:t>
            </w:r>
            <w:r w:rsidR="00CC7617">
              <w:rPr>
                <w:sz w:val="24"/>
                <w:szCs w:val="24"/>
              </w:rPr>
              <w:t>p</w:t>
            </w:r>
            <w:r w:rsidR="0004263B">
              <w:rPr>
                <w:sz w:val="24"/>
                <w:szCs w:val="24"/>
              </w:rPr>
              <w:t xml:space="preserve">ractice </w:t>
            </w:r>
            <w:r w:rsidR="00CC7617">
              <w:rPr>
                <w:sz w:val="24"/>
                <w:szCs w:val="24"/>
              </w:rPr>
              <w:t>f</w:t>
            </w:r>
            <w:r w:rsidR="0004263B">
              <w:rPr>
                <w:sz w:val="24"/>
                <w:szCs w:val="24"/>
              </w:rPr>
              <w:t>acilitator</w:t>
            </w:r>
            <w:r w:rsidR="008E0362">
              <w:rPr>
                <w:sz w:val="24"/>
                <w:szCs w:val="24"/>
              </w:rPr>
              <w:t>.</w:t>
            </w:r>
          </w:p>
          <w:p w:rsidR="008E0362" w:rsidRDefault="008E0362" w:rsidP="001C2023">
            <w:pPr>
              <w:rPr>
                <w:sz w:val="24"/>
                <w:szCs w:val="24"/>
              </w:rPr>
            </w:pPr>
          </w:p>
          <w:p w:rsidR="008E0362" w:rsidRDefault="008E0362" w:rsidP="001C2023">
            <w:pPr>
              <w:rPr>
                <w:sz w:val="24"/>
                <w:szCs w:val="24"/>
              </w:rPr>
            </w:pPr>
            <w:r>
              <w:rPr>
                <w:sz w:val="24"/>
                <w:szCs w:val="24"/>
              </w:rPr>
              <w:t>January 15, 2020 is first reporting deadline for practices in Cohort 3. Recommendation is to run test report on all measures in November 2019 to review results -&gt; opportunity to identify gaps in data, run exception reports, as needed, based on what results demonstrate.</w:t>
            </w:r>
          </w:p>
          <w:p w:rsidR="00643836" w:rsidRDefault="00643836" w:rsidP="001C2023">
            <w:pPr>
              <w:rPr>
                <w:sz w:val="24"/>
                <w:szCs w:val="24"/>
              </w:rPr>
            </w:pPr>
          </w:p>
          <w:p w:rsidR="001C2023" w:rsidRPr="00643836" w:rsidRDefault="001C2023" w:rsidP="001C2023">
            <w:pPr>
              <w:rPr>
                <w:sz w:val="24"/>
                <w:szCs w:val="24"/>
              </w:rPr>
            </w:pPr>
          </w:p>
        </w:tc>
      </w:tr>
      <w:tr w:rsidR="007F2114" w:rsidRPr="00643836" w:rsidTr="007D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Pr>
          <w:p w:rsidR="007F2114" w:rsidRPr="00643836" w:rsidRDefault="005C73A5" w:rsidP="00440ACC">
            <w:pPr>
              <w:jc w:val="center"/>
              <w:rPr>
                <w:rFonts w:ascii="Calibri" w:hAnsi="Calibri" w:cs="Tahoma"/>
                <w:sz w:val="24"/>
                <w:szCs w:val="24"/>
              </w:rPr>
            </w:pPr>
            <w:r w:rsidRPr="00643836">
              <w:rPr>
                <w:rFonts w:ascii="Calibri" w:hAnsi="Calibri" w:cs="Tahoma"/>
                <w:sz w:val="24"/>
                <w:szCs w:val="24"/>
              </w:rPr>
              <w:lastRenderedPageBreak/>
              <w:fldChar w:fldCharType="begin">
                <w:ffData>
                  <w:name w:val="Check38"/>
                  <w:enabled/>
                  <w:calcOnExit w:val="0"/>
                  <w:checkBox>
                    <w:sizeAuto/>
                    <w:default w:val="0"/>
                  </w:checkBox>
                </w:ffData>
              </w:fldChar>
            </w:r>
            <w:r w:rsidRPr="00643836">
              <w:rPr>
                <w:rFonts w:ascii="Calibri" w:hAnsi="Calibri" w:cs="Tahoma"/>
                <w:sz w:val="24"/>
                <w:szCs w:val="24"/>
              </w:rPr>
              <w:instrText xml:space="preserve"> FORMCHECKBOX </w:instrText>
            </w:r>
            <w:r w:rsidR="007D265C">
              <w:rPr>
                <w:rFonts w:ascii="Calibri" w:hAnsi="Calibri" w:cs="Tahoma"/>
                <w:sz w:val="24"/>
                <w:szCs w:val="24"/>
              </w:rPr>
            </w:r>
            <w:r w:rsidR="007D265C">
              <w:rPr>
                <w:rFonts w:ascii="Calibri" w:hAnsi="Calibri" w:cs="Tahoma"/>
                <w:sz w:val="24"/>
                <w:szCs w:val="24"/>
              </w:rPr>
              <w:fldChar w:fldCharType="separate"/>
            </w:r>
            <w:r w:rsidRPr="00643836">
              <w:rPr>
                <w:rFonts w:ascii="Calibri" w:hAnsi="Calibri" w:cs="Tahoma"/>
                <w:sz w:val="24"/>
                <w:szCs w:val="24"/>
              </w:rPr>
              <w:fldChar w:fldCharType="end"/>
            </w:r>
          </w:p>
        </w:tc>
        <w:tc>
          <w:tcPr>
            <w:tcW w:w="7691" w:type="dxa"/>
            <w:gridSpan w:val="3"/>
          </w:tcPr>
          <w:p w:rsidR="007F2114" w:rsidRDefault="007F2114" w:rsidP="00440ACC">
            <w:pPr>
              <w:rPr>
                <w:b/>
                <w:color w:val="000000"/>
                <w:sz w:val="24"/>
                <w:szCs w:val="24"/>
              </w:rPr>
            </w:pPr>
            <w:r>
              <w:rPr>
                <w:b/>
                <w:color w:val="000000"/>
                <w:sz w:val="24"/>
                <w:szCs w:val="24"/>
              </w:rPr>
              <w:t xml:space="preserve">Reporting </w:t>
            </w:r>
            <w:r w:rsidR="005C73A5">
              <w:rPr>
                <w:b/>
                <w:color w:val="000000"/>
                <w:sz w:val="24"/>
                <w:szCs w:val="24"/>
              </w:rPr>
              <w:t>Requirements</w:t>
            </w:r>
          </w:p>
          <w:p w:rsidR="005C73A5" w:rsidRDefault="005C73A5" w:rsidP="005C73A5">
            <w:pPr>
              <w:pStyle w:val="ListParagraph"/>
              <w:numPr>
                <w:ilvl w:val="0"/>
                <w:numId w:val="1"/>
              </w:numPr>
              <w:rPr>
                <w:color w:val="000000"/>
                <w:sz w:val="24"/>
                <w:szCs w:val="24"/>
              </w:rPr>
            </w:pPr>
            <w:r>
              <w:rPr>
                <w:color w:val="000000"/>
                <w:sz w:val="24"/>
                <w:szCs w:val="24"/>
              </w:rPr>
              <w:t>Submit data on quality measures and high risk patient engagement for each quarter. Due dates: January 15</w:t>
            </w:r>
            <w:r w:rsidRPr="005C73A5">
              <w:rPr>
                <w:color w:val="000000"/>
                <w:sz w:val="24"/>
                <w:szCs w:val="24"/>
                <w:vertAlign w:val="superscript"/>
              </w:rPr>
              <w:t>th</w:t>
            </w:r>
            <w:r>
              <w:rPr>
                <w:color w:val="000000"/>
                <w:sz w:val="24"/>
                <w:szCs w:val="24"/>
              </w:rPr>
              <w:t>, April 15</w:t>
            </w:r>
            <w:r w:rsidRPr="005C73A5">
              <w:rPr>
                <w:color w:val="000000"/>
                <w:sz w:val="24"/>
                <w:szCs w:val="24"/>
                <w:vertAlign w:val="superscript"/>
              </w:rPr>
              <w:t>th</w:t>
            </w:r>
            <w:r>
              <w:rPr>
                <w:color w:val="000000"/>
                <w:sz w:val="24"/>
                <w:szCs w:val="24"/>
              </w:rPr>
              <w:t>, July 15</w:t>
            </w:r>
            <w:r w:rsidRPr="005C73A5">
              <w:rPr>
                <w:color w:val="000000"/>
                <w:sz w:val="24"/>
                <w:szCs w:val="24"/>
                <w:vertAlign w:val="superscript"/>
              </w:rPr>
              <w:t>th</w:t>
            </w:r>
            <w:r>
              <w:rPr>
                <w:color w:val="000000"/>
                <w:sz w:val="24"/>
                <w:szCs w:val="24"/>
              </w:rPr>
              <w:t>, October 15</w:t>
            </w:r>
            <w:r w:rsidRPr="005C73A5">
              <w:rPr>
                <w:color w:val="000000"/>
                <w:sz w:val="24"/>
                <w:szCs w:val="24"/>
                <w:vertAlign w:val="superscript"/>
              </w:rPr>
              <w:t>th</w:t>
            </w:r>
          </w:p>
          <w:p w:rsidR="005C73A5" w:rsidRPr="000D3A8D" w:rsidRDefault="005C73A5" w:rsidP="005C73A5">
            <w:pPr>
              <w:pStyle w:val="ListParagraph"/>
              <w:numPr>
                <w:ilvl w:val="0"/>
                <w:numId w:val="1"/>
              </w:numPr>
              <w:rPr>
                <w:color w:val="000000"/>
                <w:sz w:val="24"/>
                <w:szCs w:val="24"/>
                <w:highlight w:val="yellow"/>
              </w:rPr>
            </w:pPr>
            <w:r>
              <w:rPr>
                <w:color w:val="000000"/>
                <w:sz w:val="24"/>
                <w:szCs w:val="24"/>
              </w:rPr>
              <w:t xml:space="preserve">Submit  </w:t>
            </w:r>
            <w:r w:rsidR="00A055D3">
              <w:rPr>
                <w:color w:val="000000"/>
                <w:sz w:val="24"/>
                <w:szCs w:val="24"/>
              </w:rPr>
              <w:t>performance data and quality improvement data to OHIC via their portal (</w:t>
            </w:r>
            <w:hyperlink r:id="rId13" w:history="1">
              <w:r w:rsidR="00A055D3" w:rsidRPr="00044535">
                <w:rPr>
                  <w:rStyle w:val="Hyperlink"/>
                  <w:sz w:val="24"/>
                  <w:szCs w:val="24"/>
                </w:rPr>
                <w:t>www.ohic.ri.gov</w:t>
              </w:r>
            </w:hyperlink>
            <w:r w:rsidR="00A055D3">
              <w:rPr>
                <w:color w:val="000000"/>
                <w:sz w:val="24"/>
                <w:szCs w:val="24"/>
              </w:rPr>
              <w:t>) by October 15</w:t>
            </w:r>
            <w:r w:rsidR="00A055D3" w:rsidRPr="00A055D3">
              <w:rPr>
                <w:color w:val="000000"/>
                <w:sz w:val="24"/>
                <w:szCs w:val="24"/>
                <w:vertAlign w:val="superscript"/>
              </w:rPr>
              <w:t>th</w:t>
            </w:r>
            <w:r w:rsidR="00A055D3">
              <w:rPr>
                <w:color w:val="000000"/>
                <w:sz w:val="24"/>
                <w:szCs w:val="24"/>
              </w:rPr>
              <w:t xml:space="preserve"> annually.</w:t>
            </w:r>
            <w:r w:rsidR="000D3A8D">
              <w:rPr>
                <w:color w:val="000000"/>
                <w:sz w:val="24"/>
                <w:szCs w:val="24"/>
              </w:rPr>
              <w:t xml:space="preserve"> </w:t>
            </w:r>
            <w:r w:rsidR="000D3A8D" w:rsidRPr="000D3A8D">
              <w:rPr>
                <w:b/>
                <w:color w:val="000000"/>
                <w:sz w:val="24"/>
                <w:szCs w:val="24"/>
                <w:highlight w:val="yellow"/>
              </w:rPr>
              <w:t>Note:</w:t>
            </w:r>
            <w:r w:rsidR="000D3A8D" w:rsidRPr="000D3A8D">
              <w:rPr>
                <w:color w:val="000000"/>
                <w:sz w:val="24"/>
                <w:szCs w:val="24"/>
                <w:highlight w:val="yellow"/>
              </w:rPr>
              <w:t xml:space="preserve"> OHIC will require that practices submit a base line report starting Oct 15, 2019. </w:t>
            </w:r>
            <w:r w:rsidR="000D3A8D">
              <w:rPr>
                <w:color w:val="000000"/>
                <w:sz w:val="24"/>
                <w:szCs w:val="24"/>
                <w:highlight w:val="yellow"/>
              </w:rPr>
              <w:t xml:space="preserve">  Practices will want to generate initial reports on PCMH Measurement requirements in September 2019 </w:t>
            </w:r>
          </w:p>
          <w:p w:rsidR="005C73A5" w:rsidRPr="00643836" w:rsidRDefault="005C73A5" w:rsidP="00440ACC">
            <w:pPr>
              <w:rPr>
                <w:b/>
                <w:color w:val="000000"/>
                <w:sz w:val="24"/>
                <w:szCs w:val="24"/>
              </w:rPr>
            </w:pPr>
          </w:p>
        </w:tc>
        <w:tc>
          <w:tcPr>
            <w:tcW w:w="6205" w:type="dxa"/>
            <w:gridSpan w:val="3"/>
          </w:tcPr>
          <w:p w:rsidR="007F2114" w:rsidRDefault="007F2114" w:rsidP="001C2023">
            <w:pPr>
              <w:rPr>
                <w:sz w:val="24"/>
                <w:szCs w:val="24"/>
              </w:rPr>
            </w:pPr>
          </w:p>
          <w:p w:rsidR="00A055D3" w:rsidRDefault="005C73A5" w:rsidP="001C2023">
            <w:pPr>
              <w:rPr>
                <w:sz w:val="24"/>
                <w:szCs w:val="24"/>
              </w:rPr>
            </w:pPr>
            <w:r>
              <w:rPr>
                <w:sz w:val="24"/>
                <w:szCs w:val="24"/>
              </w:rPr>
              <w:t xml:space="preserve">For questions regarding data submission to CTC, please reach out to your practice facilitator or Carolyn Karner: </w:t>
            </w:r>
            <w:hyperlink r:id="rId14" w:history="1">
              <w:r w:rsidR="00A055D3" w:rsidRPr="00044535">
                <w:rPr>
                  <w:rStyle w:val="Hyperlink"/>
                  <w:sz w:val="24"/>
                  <w:szCs w:val="24"/>
                </w:rPr>
                <w:t>ckarner@ctc-ri.org</w:t>
              </w:r>
            </w:hyperlink>
          </w:p>
          <w:p w:rsidR="00A055D3" w:rsidRDefault="00A055D3" w:rsidP="001C2023">
            <w:pPr>
              <w:rPr>
                <w:sz w:val="24"/>
                <w:szCs w:val="24"/>
              </w:rPr>
            </w:pPr>
          </w:p>
          <w:p w:rsidR="005C73A5" w:rsidRPr="00643836" w:rsidRDefault="00A055D3" w:rsidP="001C2023">
            <w:pPr>
              <w:rPr>
                <w:sz w:val="24"/>
                <w:szCs w:val="24"/>
              </w:rPr>
            </w:pPr>
            <w:r>
              <w:rPr>
                <w:sz w:val="24"/>
                <w:szCs w:val="24"/>
              </w:rPr>
              <w:t>For questions regarding data submission to OHIC, please reach out to your practice facilitator.</w:t>
            </w:r>
            <w:r w:rsidR="005C73A5">
              <w:rPr>
                <w:sz w:val="24"/>
                <w:szCs w:val="24"/>
              </w:rPr>
              <w:t xml:space="preserve"> </w:t>
            </w:r>
          </w:p>
        </w:tc>
      </w:tr>
      <w:tr w:rsidR="00AA6155" w:rsidRPr="00643836" w:rsidTr="007D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0" w:type="dxa"/>
          </w:tcPr>
          <w:p w:rsidR="00AA6155" w:rsidRPr="00643836" w:rsidRDefault="00E0541A" w:rsidP="00375BE9">
            <w:pPr>
              <w:jc w:val="center"/>
              <w:rPr>
                <w:rFonts w:ascii="Calibri" w:hAnsi="Calibri" w:cs="Tahoma"/>
                <w:sz w:val="24"/>
                <w:szCs w:val="24"/>
              </w:rPr>
            </w:pPr>
            <w:r w:rsidRPr="00643836">
              <w:rPr>
                <w:sz w:val="24"/>
                <w:szCs w:val="24"/>
              </w:rPr>
              <w:br w:type="page"/>
            </w:r>
            <w:r w:rsidR="00AA6155" w:rsidRPr="00643836">
              <w:rPr>
                <w:rFonts w:ascii="Calibri" w:hAnsi="Calibri" w:cs="Tahoma"/>
                <w:sz w:val="24"/>
                <w:szCs w:val="24"/>
              </w:rPr>
              <w:fldChar w:fldCharType="begin">
                <w:ffData>
                  <w:name w:val="Check38"/>
                  <w:enabled/>
                  <w:calcOnExit w:val="0"/>
                  <w:checkBox>
                    <w:sizeAuto/>
                    <w:default w:val="0"/>
                  </w:checkBox>
                </w:ffData>
              </w:fldChar>
            </w:r>
            <w:r w:rsidR="00AA6155" w:rsidRPr="00643836">
              <w:rPr>
                <w:rFonts w:ascii="Calibri" w:hAnsi="Calibri" w:cs="Tahoma"/>
                <w:sz w:val="24"/>
                <w:szCs w:val="24"/>
              </w:rPr>
              <w:instrText xml:space="preserve"> FORMCHECKBOX </w:instrText>
            </w:r>
            <w:r w:rsidR="007D265C">
              <w:rPr>
                <w:rFonts w:ascii="Calibri" w:hAnsi="Calibri" w:cs="Tahoma"/>
                <w:sz w:val="24"/>
                <w:szCs w:val="24"/>
              </w:rPr>
            </w:r>
            <w:r w:rsidR="007D265C">
              <w:rPr>
                <w:rFonts w:ascii="Calibri" w:hAnsi="Calibri" w:cs="Tahoma"/>
                <w:sz w:val="24"/>
                <w:szCs w:val="24"/>
              </w:rPr>
              <w:fldChar w:fldCharType="separate"/>
            </w:r>
            <w:r w:rsidR="00AA6155" w:rsidRPr="00643836">
              <w:rPr>
                <w:rFonts w:ascii="Calibri" w:hAnsi="Calibri" w:cs="Tahoma"/>
                <w:sz w:val="24"/>
                <w:szCs w:val="24"/>
              </w:rPr>
              <w:fldChar w:fldCharType="end"/>
            </w:r>
          </w:p>
        </w:tc>
        <w:tc>
          <w:tcPr>
            <w:tcW w:w="7691" w:type="dxa"/>
            <w:gridSpan w:val="3"/>
          </w:tcPr>
          <w:p w:rsidR="00A5461F" w:rsidRPr="00643836" w:rsidRDefault="00AA6155" w:rsidP="00A5461F">
            <w:pPr>
              <w:spacing w:after="0"/>
              <w:rPr>
                <w:rFonts w:cstheme="minorHAnsi"/>
                <w:b/>
                <w:sz w:val="24"/>
                <w:szCs w:val="24"/>
              </w:rPr>
            </w:pPr>
            <w:r w:rsidRPr="00643836">
              <w:rPr>
                <w:b/>
                <w:color w:val="000000"/>
                <w:sz w:val="24"/>
                <w:szCs w:val="24"/>
              </w:rPr>
              <w:t xml:space="preserve">Timeline for </w:t>
            </w:r>
            <w:r w:rsidR="001C2023">
              <w:rPr>
                <w:rFonts w:cstheme="minorHAnsi"/>
                <w:b/>
                <w:sz w:val="24"/>
                <w:szCs w:val="24"/>
              </w:rPr>
              <w:t xml:space="preserve">required Quarterly Submission </w:t>
            </w:r>
            <w:r w:rsidRPr="00643836">
              <w:rPr>
                <w:rFonts w:cstheme="minorHAnsi"/>
                <w:b/>
                <w:sz w:val="24"/>
                <w:szCs w:val="24"/>
              </w:rPr>
              <w:t>of quality measures:</w:t>
            </w:r>
          </w:p>
          <w:p w:rsidR="00AA6155" w:rsidRDefault="00A5461F" w:rsidP="001C2023">
            <w:pPr>
              <w:spacing w:after="0" w:line="240" w:lineRule="auto"/>
              <w:rPr>
                <w:rFonts w:cstheme="minorHAnsi"/>
                <w:i/>
                <w:sz w:val="24"/>
                <w:szCs w:val="24"/>
              </w:rPr>
            </w:pPr>
            <w:r w:rsidRPr="00643836">
              <w:rPr>
                <w:rFonts w:cstheme="minorHAnsi"/>
                <w:i/>
                <w:sz w:val="24"/>
                <w:szCs w:val="24"/>
              </w:rPr>
              <w:t xml:space="preserve"> (use rolling quarters)</w:t>
            </w:r>
          </w:p>
          <w:p w:rsidR="001C2023" w:rsidRPr="00643836" w:rsidRDefault="001C2023" w:rsidP="001C2023">
            <w:pPr>
              <w:spacing w:after="0" w:line="240" w:lineRule="auto"/>
              <w:rPr>
                <w:rFonts w:cstheme="minorHAnsi"/>
                <w:b/>
                <w:sz w:val="24"/>
                <w:szCs w:val="24"/>
                <w:u w:val="single"/>
              </w:rPr>
            </w:pPr>
          </w:p>
          <w:p w:rsidR="008E0362" w:rsidRPr="008E0362" w:rsidRDefault="008E0362" w:rsidP="008E0362">
            <w:pPr>
              <w:pStyle w:val="ListParagraph"/>
              <w:rPr>
                <w:color w:val="000000"/>
                <w:sz w:val="24"/>
                <w:szCs w:val="24"/>
              </w:rPr>
            </w:pPr>
            <w:r>
              <w:rPr>
                <w:color w:val="000000"/>
                <w:sz w:val="24"/>
                <w:szCs w:val="24"/>
              </w:rPr>
              <w:t>Due 1</w:t>
            </w:r>
            <w:r w:rsidRPr="008E0362">
              <w:rPr>
                <w:color w:val="000000"/>
                <w:sz w:val="24"/>
                <w:szCs w:val="24"/>
              </w:rPr>
              <w:t xml:space="preserve">/15/2020; </w:t>
            </w:r>
            <w:r w:rsidRPr="008E0362">
              <w:rPr>
                <w:color w:val="000000"/>
                <w:sz w:val="24"/>
                <w:szCs w:val="24"/>
                <w:u w:val="single"/>
              </w:rPr>
              <w:t>Q</w:t>
            </w:r>
            <w:r>
              <w:rPr>
                <w:color w:val="000000"/>
                <w:sz w:val="24"/>
                <w:szCs w:val="24"/>
                <w:u w:val="single"/>
              </w:rPr>
              <w:t>4</w:t>
            </w:r>
            <w:r w:rsidRPr="008E0362">
              <w:rPr>
                <w:color w:val="000000"/>
                <w:sz w:val="24"/>
                <w:szCs w:val="24"/>
                <w:u w:val="single"/>
              </w:rPr>
              <w:t xml:space="preserve"> 20</w:t>
            </w:r>
            <w:r>
              <w:rPr>
                <w:color w:val="000000"/>
                <w:sz w:val="24"/>
                <w:szCs w:val="24"/>
                <w:u w:val="single"/>
              </w:rPr>
              <w:t>19</w:t>
            </w:r>
            <w:r w:rsidRPr="008E0362">
              <w:rPr>
                <w:color w:val="000000"/>
                <w:sz w:val="24"/>
                <w:szCs w:val="24"/>
              </w:rPr>
              <w:t xml:space="preserve"> (data from 1</w:t>
            </w:r>
            <w:r>
              <w:rPr>
                <w:color w:val="000000"/>
                <w:sz w:val="24"/>
                <w:szCs w:val="24"/>
              </w:rPr>
              <w:t>0</w:t>
            </w:r>
            <w:r w:rsidRPr="008E0362">
              <w:rPr>
                <w:color w:val="000000"/>
                <w:sz w:val="24"/>
                <w:szCs w:val="24"/>
              </w:rPr>
              <w:t>/1/20</w:t>
            </w:r>
            <w:r>
              <w:rPr>
                <w:color w:val="000000"/>
                <w:sz w:val="24"/>
                <w:szCs w:val="24"/>
              </w:rPr>
              <w:t>19</w:t>
            </w:r>
            <w:r w:rsidRPr="008E0362">
              <w:rPr>
                <w:color w:val="000000"/>
                <w:sz w:val="24"/>
                <w:szCs w:val="24"/>
              </w:rPr>
              <w:t xml:space="preserve"> ending </w:t>
            </w:r>
            <w:r>
              <w:rPr>
                <w:color w:val="000000"/>
                <w:sz w:val="24"/>
                <w:szCs w:val="24"/>
              </w:rPr>
              <w:t>12</w:t>
            </w:r>
            <w:r w:rsidRPr="008E0362">
              <w:rPr>
                <w:color w:val="000000"/>
                <w:sz w:val="24"/>
                <w:szCs w:val="24"/>
              </w:rPr>
              <w:t>/31/</w:t>
            </w:r>
            <w:r>
              <w:rPr>
                <w:color w:val="000000"/>
                <w:sz w:val="24"/>
                <w:szCs w:val="24"/>
              </w:rPr>
              <w:t>19</w:t>
            </w:r>
            <w:r w:rsidRPr="008E0362">
              <w:rPr>
                <w:color w:val="000000"/>
                <w:sz w:val="24"/>
                <w:szCs w:val="24"/>
              </w:rPr>
              <w:t>)</w:t>
            </w:r>
          </w:p>
          <w:p w:rsidR="007E531D" w:rsidRPr="008E0362" w:rsidRDefault="007E531D" w:rsidP="008E0362">
            <w:pPr>
              <w:pStyle w:val="ListParagraph"/>
              <w:rPr>
                <w:color w:val="000000"/>
                <w:sz w:val="24"/>
                <w:szCs w:val="24"/>
              </w:rPr>
            </w:pPr>
            <w:r>
              <w:rPr>
                <w:color w:val="000000"/>
                <w:sz w:val="24"/>
                <w:szCs w:val="24"/>
              </w:rPr>
              <w:t xml:space="preserve">Due </w:t>
            </w:r>
            <w:r w:rsidRPr="008E0362">
              <w:rPr>
                <w:color w:val="000000"/>
                <w:sz w:val="24"/>
                <w:szCs w:val="24"/>
              </w:rPr>
              <w:t xml:space="preserve">4/15/2020; </w:t>
            </w:r>
            <w:r w:rsidRPr="008E0362">
              <w:rPr>
                <w:color w:val="000000"/>
                <w:sz w:val="24"/>
                <w:szCs w:val="24"/>
                <w:u w:val="single"/>
              </w:rPr>
              <w:t>Q1 2020</w:t>
            </w:r>
            <w:r w:rsidRPr="008E0362">
              <w:rPr>
                <w:color w:val="000000"/>
                <w:sz w:val="24"/>
                <w:szCs w:val="24"/>
              </w:rPr>
              <w:t xml:space="preserve"> (data from 1/1/2020 ending 3/31/20)</w:t>
            </w:r>
          </w:p>
          <w:p w:rsidR="007E531D" w:rsidRDefault="007E531D" w:rsidP="001C2023">
            <w:pPr>
              <w:pStyle w:val="ListParagraph"/>
              <w:rPr>
                <w:color w:val="000000"/>
                <w:sz w:val="24"/>
                <w:szCs w:val="24"/>
              </w:rPr>
            </w:pPr>
            <w:r>
              <w:rPr>
                <w:color w:val="000000"/>
                <w:sz w:val="24"/>
                <w:szCs w:val="24"/>
              </w:rPr>
              <w:t xml:space="preserve">Due 7/15/2020; </w:t>
            </w:r>
            <w:r w:rsidRPr="008B4D1C">
              <w:rPr>
                <w:color w:val="000000"/>
                <w:sz w:val="24"/>
                <w:szCs w:val="24"/>
                <w:u w:val="single"/>
              </w:rPr>
              <w:t>Q2 2020</w:t>
            </w:r>
            <w:r>
              <w:rPr>
                <w:color w:val="000000"/>
                <w:sz w:val="24"/>
                <w:szCs w:val="24"/>
              </w:rPr>
              <w:t xml:space="preserve"> (data from 4/1/20 ending 6/30/20)</w:t>
            </w:r>
          </w:p>
          <w:p w:rsidR="007E531D" w:rsidRDefault="007E531D" w:rsidP="001C2023">
            <w:pPr>
              <w:pStyle w:val="ListParagraph"/>
              <w:rPr>
                <w:color w:val="000000"/>
                <w:sz w:val="24"/>
                <w:szCs w:val="24"/>
              </w:rPr>
            </w:pPr>
            <w:r>
              <w:rPr>
                <w:color w:val="000000"/>
                <w:sz w:val="24"/>
                <w:szCs w:val="24"/>
              </w:rPr>
              <w:t xml:space="preserve">Due 10/15/2020; </w:t>
            </w:r>
            <w:r w:rsidRPr="008B4D1C">
              <w:rPr>
                <w:color w:val="000000"/>
                <w:sz w:val="24"/>
                <w:szCs w:val="24"/>
                <w:u w:val="single"/>
              </w:rPr>
              <w:t>Q3 2020</w:t>
            </w:r>
            <w:r>
              <w:rPr>
                <w:color w:val="000000"/>
                <w:sz w:val="24"/>
                <w:szCs w:val="24"/>
              </w:rPr>
              <w:t xml:space="preserve"> (data from 6/1/20 ending 9/30/20)</w:t>
            </w:r>
          </w:p>
          <w:p w:rsidR="007E531D" w:rsidRDefault="007E531D" w:rsidP="001C2023">
            <w:pPr>
              <w:pStyle w:val="ListParagraph"/>
              <w:rPr>
                <w:color w:val="000000"/>
                <w:sz w:val="24"/>
                <w:szCs w:val="24"/>
              </w:rPr>
            </w:pPr>
            <w:r>
              <w:rPr>
                <w:color w:val="000000"/>
                <w:sz w:val="24"/>
                <w:szCs w:val="24"/>
              </w:rPr>
              <w:t xml:space="preserve">Due 1/15/2021; </w:t>
            </w:r>
            <w:r w:rsidRPr="008B4D1C">
              <w:rPr>
                <w:color w:val="000000"/>
                <w:sz w:val="24"/>
                <w:szCs w:val="24"/>
                <w:u w:val="single"/>
              </w:rPr>
              <w:t>Q4 2020</w:t>
            </w:r>
            <w:r w:rsidR="008B4D1C">
              <w:rPr>
                <w:color w:val="000000"/>
                <w:sz w:val="24"/>
                <w:szCs w:val="24"/>
              </w:rPr>
              <w:t xml:space="preserve"> (data from 10/1/20 ending 12/31/20)</w:t>
            </w:r>
          </w:p>
          <w:p w:rsidR="008B4D1C" w:rsidRDefault="008B4D1C" w:rsidP="001C2023">
            <w:pPr>
              <w:pStyle w:val="ListParagraph"/>
              <w:rPr>
                <w:color w:val="000000"/>
                <w:sz w:val="24"/>
                <w:szCs w:val="24"/>
              </w:rPr>
            </w:pPr>
            <w:r>
              <w:rPr>
                <w:color w:val="000000"/>
                <w:sz w:val="24"/>
                <w:szCs w:val="24"/>
              </w:rPr>
              <w:t xml:space="preserve">Due 4/15/2021; </w:t>
            </w:r>
            <w:r w:rsidRPr="008B4D1C">
              <w:rPr>
                <w:color w:val="000000"/>
                <w:sz w:val="24"/>
                <w:szCs w:val="24"/>
                <w:u w:val="single"/>
              </w:rPr>
              <w:t>Q1 2021</w:t>
            </w:r>
            <w:r>
              <w:rPr>
                <w:color w:val="000000"/>
                <w:sz w:val="24"/>
                <w:szCs w:val="24"/>
              </w:rPr>
              <w:t xml:space="preserve"> (data from 1/1/21 ending 3/31/21)</w:t>
            </w:r>
          </w:p>
          <w:p w:rsidR="008B4D1C" w:rsidRDefault="008B4D1C" w:rsidP="008B4D1C">
            <w:pPr>
              <w:pStyle w:val="ListParagraph"/>
              <w:rPr>
                <w:color w:val="000000"/>
                <w:sz w:val="24"/>
                <w:szCs w:val="24"/>
              </w:rPr>
            </w:pPr>
            <w:r>
              <w:rPr>
                <w:color w:val="000000"/>
                <w:sz w:val="24"/>
                <w:szCs w:val="24"/>
              </w:rPr>
              <w:t xml:space="preserve">Due 7/15/2021; </w:t>
            </w:r>
            <w:r>
              <w:rPr>
                <w:color w:val="000000"/>
                <w:sz w:val="24"/>
                <w:szCs w:val="24"/>
                <w:u w:val="single"/>
              </w:rPr>
              <w:t>Q2 2021</w:t>
            </w:r>
            <w:r>
              <w:rPr>
                <w:color w:val="000000"/>
                <w:sz w:val="24"/>
                <w:szCs w:val="24"/>
              </w:rPr>
              <w:t xml:space="preserve"> (data from 4/1/21 ending 6/30/21)</w:t>
            </w:r>
          </w:p>
          <w:p w:rsidR="008B4D1C" w:rsidRDefault="008B4D1C" w:rsidP="008B4D1C">
            <w:pPr>
              <w:pStyle w:val="ListParagraph"/>
              <w:rPr>
                <w:color w:val="000000"/>
                <w:sz w:val="24"/>
                <w:szCs w:val="24"/>
              </w:rPr>
            </w:pPr>
            <w:r>
              <w:rPr>
                <w:color w:val="000000"/>
                <w:sz w:val="24"/>
                <w:szCs w:val="24"/>
              </w:rPr>
              <w:t xml:space="preserve">Due 10/15/2021; </w:t>
            </w:r>
            <w:r>
              <w:rPr>
                <w:color w:val="000000"/>
                <w:sz w:val="24"/>
                <w:szCs w:val="24"/>
                <w:u w:val="single"/>
              </w:rPr>
              <w:t>Q3 2021</w:t>
            </w:r>
            <w:r>
              <w:rPr>
                <w:color w:val="000000"/>
                <w:sz w:val="24"/>
                <w:szCs w:val="24"/>
              </w:rPr>
              <w:t xml:space="preserve"> (data from 6/1/21 ending 9/30/21)</w:t>
            </w:r>
          </w:p>
          <w:p w:rsidR="008B4D1C" w:rsidRDefault="008B4D1C" w:rsidP="008B4D1C">
            <w:pPr>
              <w:pStyle w:val="ListParagraph"/>
              <w:rPr>
                <w:color w:val="000000"/>
                <w:sz w:val="24"/>
                <w:szCs w:val="24"/>
              </w:rPr>
            </w:pPr>
            <w:r>
              <w:rPr>
                <w:color w:val="000000"/>
                <w:sz w:val="24"/>
                <w:szCs w:val="24"/>
              </w:rPr>
              <w:t xml:space="preserve">Due 1/15/2022; </w:t>
            </w:r>
            <w:r>
              <w:rPr>
                <w:color w:val="000000"/>
                <w:sz w:val="24"/>
                <w:szCs w:val="24"/>
                <w:u w:val="single"/>
              </w:rPr>
              <w:t>Q4 2021</w:t>
            </w:r>
            <w:r>
              <w:rPr>
                <w:color w:val="000000"/>
                <w:sz w:val="24"/>
                <w:szCs w:val="24"/>
              </w:rPr>
              <w:t xml:space="preserve"> (data from 10/1/21 ending 12/31/21)</w:t>
            </w:r>
          </w:p>
          <w:p w:rsidR="008B4D1C" w:rsidRDefault="008B4D1C" w:rsidP="008B4D1C">
            <w:pPr>
              <w:pStyle w:val="ListParagraph"/>
              <w:rPr>
                <w:color w:val="000000"/>
                <w:sz w:val="24"/>
                <w:szCs w:val="24"/>
              </w:rPr>
            </w:pPr>
            <w:r>
              <w:rPr>
                <w:color w:val="000000"/>
                <w:sz w:val="24"/>
                <w:szCs w:val="24"/>
              </w:rPr>
              <w:lastRenderedPageBreak/>
              <w:t xml:space="preserve">Due 4/15/2022; </w:t>
            </w:r>
            <w:r>
              <w:rPr>
                <w:color w:val="000000"/>
                <w:sz w:val="24"/>
                <w:szCs w:val="24"/>
                <w:u w:val="single"/>
              </w:rPr>
              <w:t>Q1 2022</w:t>
            </w:r>
            <w:r>
              <w:rPr>
                <w:color w:val="000000"/>
                <w:sz w:val="24"/>
                <w:szCs w:val="24"/>
              </w:rPr>
              <w:t xml:space="preserve"> (data from 1/1/22 ending 3/31/22)</w:t>
            </w:r>
          </w:p>
          <w:p w:rsidR="008B4D1C" w:rsidRPr="007D265C" w:rsidRDefault="008B4D1C" w:rsidP="007D265C">
            <w:pPr>
              <w:pStyle w:val="ListParagraph"/>
              <w:rPr>
                <w:color w:val="000000"/>
                <w:sz w:val="24"/>
                <w:szCs w:val="24"/>
              </w:rPr>
            </w:pPr>
            <w:r>
              <w:rPr>
                <w:color w:val="000000"/>
                <w:sz w:val="24"/>
                <w:szCs w:val="24"/>
              </w:rPr>
              <w:t xml:space="preserve">Due 7/15/2022; </w:t>
            </w:r>
            <w:r>
              <w:rPr>
                <w:color w:val="000000"/>
                <w:sz w:val="24"/>
                <w:szCs w:val="24"/>
                <w:u w:val="single"/>
              </w:rPr>
              <w:t>Q2 2022</w:t>
            </w:r>
            <w:r>
              <w:rPr>
                <w:color w:val="000000"/>
                <w:sz w:val="24"/>
                <w:szCs w:val="24"/>
              </w:rPr>
              <w:t xml:space="preserve"> (data from 4/1/22 ending 6/30/22)</w:t>
            </w:r>
          </w:p>
        </w:tc>
        <w:tc>
          <w:tcPr>
            <w:tcW w:w="6205" w:type="dxa"/>
            <w:gridSpan w:val="3"/>
          </w:tcPr>
          <w:p w:rsidR="00A25853" w:rsidRPr="00914D7A" w:rsidRDefault="00A25853" w:rsidP="00A25853">
            <w:pPr>
              <w:rPr>
                <w:sz w:val="24"/>
                <w:szCs w:val="24"/>
              </w:rPr>
            </w:pPr>
            <w:r w:rsidRPr="00914D7A">
              <w:rPr>
                <w:sz w:val="24"/>
                <w:szCs w:val="24"/>
              </w:rPr>
              <w:lastRenderedPageBreak/>
              <w:t xml:space="preserve">*Practices need to formally ask for an extension if not able to report data; such an extension MUST be APPROVED by CTC.  </w:t>
            </w:r>
          </w:p>
          <w:p w:rsidR="00381F6A" w:rsidRPr="00914D7A" w:rsidRDefault="00381F6A" w:rsidP="00A25853">
            <w:pPr>
              <w:rPr>
                <w:sz w:val="24"/>
                <w:szCs w:val="24"/>
              </w:rPr>
            </w:pPr>
            <w:r w:rsidRPr="00914D7A">
              <w:rPr>
                <w:sz w:val="24"/>
                <w:szCs w:val="24"/>
              </w:rPr>
              <w:t>Please contact the following people in the event of such a request:</w:t>
            </w:r>
            <w:r w:rsidR="00A25853" w:rsidRPr="00914D7A">
              <w:rPr>
                <w:sz w:val="24"/>
                <w:szCs w:val="24"/>
              </w:rPr>
              <w:t xml:space="preserve"> </w:t>
            </w:r>
          </w:p>
          <w:p w:rsidR="00381F6A" w:rsidRPr="00914D7A" w:rsidRDefault="00BB0E68" w:rsidP="00D167B3">
            <w:pPr>
              <w:spacing w:after="120" w:line="240" w:lineRule="auto"/>
              <w:rPr>
                <w:sz w:val="24"/>
                <w:szCs w:val="24"/>
              </w:rPr>
            </w:pPr>
            <w:r w:rsidRPr="00914D7A">
              <w:rPr>
                <w:sz w:val="24"/>
                <w:szCs w:val="24"/>
              </w:rPr>
              <w:t>Andrea</w:t>
            </w:r>
            <w:r w:rsidR="00381F6A" w:rsidRPr="00914D7A">
              <w:rPr>
                <w:sz w:val="24"/>
                <w:szCs w:val="24"/>
              </w:rPr>
              <w:t xml:space="preserve"> Galgay</w:t>
            </w:r>
            <w:r w:rsidR="00D46C59" w:rsidRPr="00914D7A">
              <w:rPr>
                <w:sz w:val="24"/>
                <w:szCs w:val="24"/>
              </w:rPr>
              <w:t xml:space="preserve"> (Practice Reporting)</w:t>
            </w:r>
            <w:r w:rsidR="00381F6A" w:rsidRPr="00914D7A">
              <w:rPr>
                <w:sz w:val="24"/>
                <w:szCs w:val="24"/>
              </w:rPr>
              <w:t xml:space="preserve">: </w:t>
            </w:r>
            <w:r w:rsidR="00D46C59" w:rsidRPr="00914D7A">
              <w:rPr>
                <w:sz w:val="24"/>
                <w:szCs w:val="24"/>
              </w:rPr>
              <w:t>agalgay@ripcpc.com</w:t>
            </w:r>
          </w:p>
          <w:p w:rsidR="00D46C59" w:rsidRPr="00914D7A" w:rsidRDefault="00BB0E68" w:rsidP="00381F6A">
            <w:pPr>
              <w:spacing w:after="0" w:line="240" w:lineRule="auto"/>
              <w:rPr>
                <w:sz w:val="24"/>
                <w:szCs w:val="24"/>
              </w:rPr>
            </w:pPr>
            <w:r w:rsidRPr="00914D7A">
              <w:rPr>
                <w:sz w:val="24"/>
                <w:szCs w:val="24"/>
              </w:rPr>
              <w:t>Patty</w:t>
            </w:r>
            <w:r w:rsidR="00381F6A" w:rsidRPr="00914D7A">
              <w:rPr>
                <w:sz w:val="24"/>
                <w:szCs w:val="24"/>
              </w:rPr>
              <w:t xml:space="preserve"> Kelly-Flis</w:t>
            </w:r>
            <w:r w:rsidR="00D46C59" w:rsidRPr="00914D7A">
              <w:rPr>
                <w:sz w:val="24"/>
                <w:szCs w:val="24"/>
              </w:rPr>
              <w:t xml:space="preserve"> (Practice Reporting): </w:t>
            </w:r>
          </w:p>
          <w:p w:rsidR="00381F6A" w:rsidRPr="00914D7A" w:rsidRDefault="00D46C59" w:rsidP="00D167B3">
            <w:pPr>
              <w:spacing w:after="120" w:line="240" w:lineRule="auto"/>
              <w:rPr>
                <w:sz w:val="24"/>
                <w:szCs w:val="24"/>
              </w:rPr>
            </w:pPr>
            <w:r w:rsidRPr="00914D7A">
              <w:rPr>
                <w:sz w:val="24"/>
                <w:szCs w:val="24"/>
              </w:rPr>
              <w:t>pkelly-flis@welloneri.org</w:t>
            </w:r>
          </w:p>
          <w:p w:rsidR="001C2023" w:rsidRPr="009235D3" w:rsidRDefault="001C2023" w:rsidP="009235D3">
            <w:pPr>
              <w:spacing w:after="120" w:line="240" w:lineRule="auto"/>
              <w:rPr>
                <w:sz w:val="24"/>
                <w:szCs w:val="24"/>
              </w:rPr>
            </w:pPr>
          </w:p>
          <w:p w:rsidR="001C2023" w:rsidRPr="00643836" w:rsidRDefault="001C2023" w:rsidP="00375BE9">
            <w:pPr>
              <w:rPr>
                <w:rFonts w:ascii="Calibri" w:hAnsi="Calibri"/>
                <w:color w:val="000000"/>
                <w:sz w:val="24"/>
                <w:szCs w:val="24"/>
              </w:rPr>
            </w:pPr>
          </w:p>
        </w:tc>
      </w:tr>
      <w:tr w:rsidR="00AA6155" w:rsidRPr="00643836" w:rsidTr="007D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6" w:type="dxa"/>
          <w:trHeight w:val="99"/>
          <w:tblHeader/>
        </w:trPr>
        <w:tc>
          <w:tcPr>
            <w:tcW w:w="14220" w:type="dxa"/>
            <w:gridSpan w:val="6"/>
            <w:tcBorders>
              <w:top w:val="nil"/>
              <w:left w:val="nil"/>
              <w:bottom w:val="single" w:sz="4" w:space="0" w:color="auto"/>
              <w:right w:val="nil"/>
            </w:tcBorders>
            <w:shd w:val="clear" w:color="auto" w:fill="auto"/>
            <w:hideMark/>
          </w:tcPr>
          <w:p w:rsidR="00AA6155" w:rsidRPr="00643836" w:rsidRDefault="004636B6" w:rsidP="00FE6342">
            <w:pPr>
              <w:rPr>
                <w:rFonts w:ascii="Calibri" w:hAnsi="Calibri"/>
                <w:color w:val="000000"/>
                <w:sz w:val="28"/>
                <w:szCs w:val="28"/>
              </w:rPr>
            </w:pPr>
            <w:r>
              <w:lastRenderedPageBreak/>
              <w:br w:type="page"/>
            </w:r>
            <w:r w:rsidR="00AA6155" w:rsidRPr="00643836">
              <w:rPr>
                <w:sz w:val="28"/>
                <w:szCs w:val="28"/>
              </w:rPr>
              <w:br w:type="page"/>
            </w:r>
            <w:r w:rsidR="00FE6342">
              <w:rPr>
                <w:rFonts w:ascii="Calibri" w:hAnsi="Calibri" w:cstheme="minorHAnsi"/>
                <w:b/>
                <w:sz w:val="28"/>
                <w:szCs w:val="28"/>
              </w:rPr>
              <w:t>PCMH-Kids</w:t>
            </w:r>
            <w:r w:rsidR="00FE6342" w:rsidRPr="00643836">
              <w:rPr>
                <w:rFonts w:ascii="Calibri" w:hAnsi="Calibri" w:cstheme="minorHAnsi"/>
                <w:b/>
                <w:sz w:val="28"/>
                <w:szCs w:val="28"/>
              </w:rPr>
              <w:t xml:space="preserve"> </w:t>
            </w:r>
            <w:r w:rsidR="00AA6155" w:rsidRPr="00643836">
              <w:rPr>
                <w:rFonts w:ascii="Calibri" w:hAnsi="Calibri" w:cstheme="minorHAnsi"/>
                <w:b/>
                <w:sz w:val="28"/>
                <w:szCs w:val="28"/>
              </w:rPr>
              <w:t>Clinical Quality Measures (CQMs)</w:t>
            </w:r>
          </w:p>
        </w:tc>
      </w:tr>
      <w:tr w:rsidR="00AA6155" w:rsidRPr="00643836" w:rsidTr="007D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6" w:type="dxa"/>
          <w:trHeight w:val="710"/>
          <w:tblHeader/>
        </w:trPr>
        <w:tc>
          <w:tcPr>
            <w:tcW w:w="14220" w:type="dxa"/>
            <w:gridSpan w:val="6"/>
            <w:tcBorders>
              <w:top w:val="single" w:sz="4" w:space="0" w:color="auto"/>
              <w:left w:val="single" w:sz="4" w:space="0" w:color="auto"/>
              <w:bottom w:val="single" w:sz="4" w:space="0" w:color="auto"/>
              <w:right w:val="single" w:sz="4" w:space="0" w:color="auto"/>
            </w:tcBorders>
            <w:shd w:val="clear" w:color="auto" w:fill="auto"/>
            <w:hideMark/>
          </w:tcPr>
          <w:p w:rsidR="00AA6155" w:rsidRPr="00643836" w:rsidRDefault="00AA6155" w:rsidP="00375BE9">
            <w:pPr>
              <w:pStyle w:val="Default"/>
              <w:rPr>
                <w:rFonts w:cstheme="minorHAnsi"/>
              </w:rPr>
            </w:pPr>
            <w:r w:rsidRPr="00643836">
              <w:rPr>
                <w:rFonts w:cstheme="minorHAnsi"/>
              </w:rPr>
              <w:t>Note: These measure definitions are based on the NQF and/or HEDIS measure definitions but</w:t>
            </w:r>
            <w:r w:rsidRPr="00643836">
              <w:rPr>
                <w:rFonts w:cstheme="minorHAnsi"/>
                <w:u w:val="single"/>
              </w:rPr>
              <w:t xml:space="preserve"> are not exactly the same</w:t>
            </w:r>
            <w:r w:rsidRPr="00643836">
              <w:rPr>
                <w:rFonts w:cstheme="minorHAnsi"/>
              </w:rPr>
              <w:t xml:space="preserve"> as the quality measures required for Meaningful Use.  EHR Meaningful Use certified automated reports may be used only in </w:t>
            </w:r>
            <w:r w:rsidRPr="00643836">
              <w:rPr>
                <w:rFonts w:cstheme="minorHAnsi"/>
                <w:u w:val="single"/>
              </w:rPr>
              <w:t>single provider practices</w:t>
            </w:r>
            <w:r w:rsidRPr="00643836">
              <w:rPr>
                <w:rFonts w:cstheme="minorHAnsi"/>
              </w:rPr>
              <w:t xml:space="preserve">.  Aggregation of individual provider numerators and denominators generated by the EHR report may result in duplication of patients. </w:t>
            </w:r>
          </w:p>
        </w:tc>
      </w:tr>
      <w:tr w:rsidR="00AA6155" w:rsidRPr="00643836" w:rsidTr="007D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6" w:type="dxa"/>
          <w:trHeight w:val="611"/>
          <w:tblHeader/>
        </w:trPr>
        <w:tc>
          <w:tcPr>
            <w:tcW w:w="583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AA6155" w:rsidRPr="00643836" w:rsidRDefault="00AA6155" w:rsidP="00331900">
            <w:pPr>
              <w:pStyle w:val="Default"/>
              <w:rPr>
                <w:b/>
              </w:rPr>
            </w:pPr>
            <w:r w:rsidRPr="00643836">
              <w:rPr>
                <w:b/>
              </w:rPr>
              <w:t xml:space="preserve">Measure  </w:t>
            </w:r>
          </w:p>
        </w:tc>
        <w:tc>
          <w:tcPr>
            <w:tcW w:w="5508" w:type="dxa"/>
            <w:gridSpan w:val="2"/>
            <w:tcBorders>
              <w:top w:val="single" w:sz="4" w:space="0" w:color="auto"/>
              <w:left w:val="nil"/>
              <w:right w:val="single" w:sz="4" w:space="0" w:color="auto"/>
            </w:tcBorders>
            <w:shd w:val="clear" w:color="auto" w:fill="DEEAF6" w:themeFill="accent1" w:themeFillTint="33"/>
          </w:tcPr>
          <w:p w:rsidR="00AA6155" w:rsidRPr="00643836" w:rsidRDefault="00830822" w:rsidP="00830822">
            <w:pPr>
              <w:spacing w:after="0"/>
              <w:rPr>
                <w:rFonts w:ascii="Calibri" w:hAnsi="Calibri"/>
                <w:b/>
                <w:color w:val="000000"/>
                <w:sz w:val="24"/>
                <w:szCs w:val="24"/>
              </w:rPr>
            </w:pPr>
            <w:r w:rsidRPr="00643836">
              <w:rPr>
                <w:rFonts w:ascii="Calibri" w:hAnsi="Calibri"/>
                <w:b/>
                <w:color w:val="000000"/>
                <w:sz w:val="24"/>
                <w:szCs w:val="24"/>
              </w:rPr>
              <w:t xml:space="preserve">Helpful Tips </w:t>
            </w:r>
          </w:p>
        </w:tc>
        <w:tc>
          <w:tcPr>
            <w:tcW w:w="2880" w:type="dxa"/>
            <w:tcBorders>
              <w:top w:val="single" w:sz="4" w:space="0" w:color="auto"/>
              <w:left w:val="nil"/>
              <w:right w:val="single" w:sz="4" w:space="0" w:color="auto"/>
            </w:tcBorders>
            <w:shd w:val="clear" w:color="auto" w:fill="DEEAF6" w:themeFill="accent1" w:themeFillTint="33"/>
          </w:tcPr>
          <w:p w:rsidR="00830822" w:rsidRPr="00643836" w:rsidRDefault="00830822" w:rsidP="00830822">
            <w:pPr>
              <w:spacing w:after="0"/>
              <w:jc w:val="center"/>
              <w:rPr>
                <w:rFonts w:ascii="Calibri" w:hAnsi="Calibri" w:cstheme="minorHAnsi"/>
                <w:b/>
                <w:sz w:val="24"/>
                <w:szCs w:val="24"/>
              </w:rPr>
            </w:pPr>
            <w:r w:rsidRPr="00643836">
              <w:rPr>
                <w:rFonts w:ascii="Calibri" w:hAnsi="Calibri"/>
                <w:b/>
                <w:color w:val="000000"/>
                <w:sz w:val="24"/>
                <w:szCs w:val="24"/>
              </w:rPr>
              <w:t>Notes/ Planning / Timeline</w:t>
            </w:r>
            <w:r w:rsidRPr="00643836">
              <w:rPr>
                <w:rFonts w:ascii="Calibri" w:hAnsi="Calibri" w:cstheme="minorHAnsi"/>
                <w:b/>
                <w:sz w:val="24"/>
                <w:szCs w:val="24"/>
              </w:rPr>
              <w:t xml:space="preserve"> </w:t>
            </w:r>
          </w:p>
          <w:p w:rsidR="00AA6155" w:rsidRPr="00643836" w:rsidRDefault="00AA6155" w:rsidP="00C832B9">
            <w:pPr>
              <w:spacing w:after="0"/>
              <w:jc w:val="center"/>
              <w:rPr>
                <w:rFonts w:ascii="Calibri" w:hAnsi="Calibri" w:cstheme="minorHAnsi"/>
                <w:b/>
                <w:sz w:val="24"/>
                <w:szCs w:val="24"/>
              </w:rPr>
            </w:pPr>
            <w:r w:rsidRPr="00643836">
              <w:rPr>
                <w:rFonts w:ascii="Calibri" w:hAnsi="Calibri" w:cstheme="minorHAnsi"/>
                <w:b/>
                <w:sz w:val="24"/>
                <w:szCs w:val="24"/>
              </w:rPr>
              <w:t>Where Captured in EHR?</w:t>
            </w:r>
          </w:p>
        </w:tc>
      </w:tr>
      <w:tr w:rsidR="00AA6155" w:rsidRPr="00643836" w:rsidTr="007D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6" w:type="dxa"/>
          <w:cantSplit/>
          <w:trHeight w:val="3869"/>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AA6155" w:rsidRPr="00643836" w:rsidRDefault="00AA6155" w:rsidP="00375BE9">
            <w:pPr>
              <w:rPr>
                <w:rFonts w:ascii="Calibri" w:hAnsi="Calibri"/>
                <w:sz w:val="24"/>
                <w:szCs w:val="24"/>
              </w:rPr>
            </w:pPr>
            <w:r w:rsidRPr="00643836">
              <w:rPr>
                <w:rFonts w:ascii="Calibri" w:hAnsi="Calibri" w:cs="Tahoma"/>
                <w:sz w:val="24"/>
                <w:szCs w:val="24"/>
              </w:rPr>
              <w:fldChar w:fldCharType="begin">
                <w:ffData>
                  <w:name w:val="Check38"/>
                  <w:enabled/>
                  <w:calcOnExit w:val="0"/>
                  <w:checkBox>
                    <w:sizeAuto/>
                    <w:default w:val="0"/>
                  </w:checkBox>
                </w:ffData>
              </w:fldChar>
            </w:r>
            <w:r w:rsidRPr="00643836">
              <w:rPr>
                <w:rFonts w:ascii="Calibri" w:hAnsi="Calibri" w:cs="Tahoma"/>
                <w:sz w:val="24"/>
                <w:szCs w:val="24"/>
              </w:rPr>
              <w:instrText xml:space="preserve"> FORMCHECKBOX </w:instrText>
            </w:r>
            <w:r w:rsidR="007D265C">
              <w:rPr>
                <w:rFonts w:ascii="Calibri" w:hAnsi="Calibri" w:cs="Tahoma"/>
                <w:sz w:val="24"/>
                <w:szCs w:val="24"/>
              </w:rPr>
            </w:r>
            <w:r w:rsidR="007D265C">
              <w:rPr>
                <w:rFonts w:ascii="Calibri" w:hAnsi="Calibri" w:cs="Tahoma"/>
                <w:sz w:val="24"/>
                <w:szCs w:val="24"/>
              </w:rPr>
              <w:fldChar w:fldCharType="separate"/>
            </w:r>
            <w:r w:rsidRPr="00643836">
              <w:rPr>
                <w:rFonts w:ascii="Calibri" w:hAnsi="Calibri" w:cs="Tahoma"/>
                <w:sz w:val="24"/>
                <w:szCs w:val="24"/>
              </w:rPr>
              <w:fldChar w:fldCharType="end"/>
            </w:r>
            <w:r w:rsidRPr="00643836">
              <w:rPr>
                <w:rFonts w:ascii="Calibri" w:hAnsi="Calibri" w:cs="Tahoma"/>
                <w:sz w:val="24"/>
                <w:szCs w:val="24"/>
              </w:rPr>
              <w:t xml:space="preserve"> </w:t>
            </w:r>
          </w:p>
        </w:tc>
        <w:tc>
          <w:tcPr>
            <w:tcW w:w="5292" w:type="dxa"/>
            <w:gridSpan w:val="2"/>
            <w:tcBorders>
              <w:top w:val="single" w:sz="4" w:space="0" w:color="auto"/>
              <w:left w:val="nil"/>
              <w:bottom w:val="single" w:sz="4" w:space="0" w:color="auto"/>
              <w:right w:val="single" w:sz="4" w:space="0" w:color="auto"/>
            </w:tcBorders>
            <w:shd w:val="clear" w:color="auto" w:fill="auto"/>
            <w:hideMark/>
          </w:tcPr>
          <w:p w:rsidR="00AA6155" w:rsidRPr="00643836" w:rsidRDefault="00AA6155" w:rsidP="00375BE9">
            <w:pPr>
              <w:pStyle w:val="Default"/>
            </w:pPr>
            <w:r w:rsidRPr="00643836">
              <w:rPr>
                <w:b/>
              </w:rPr>
              <w:t xml:space="preserve">Active Patient criteria – </w:t>
            </w:r>
            <w:r w:rsidRPr="00643836">
              <w:t>same definition for ALL measures</w:t>
            </w:r>
            <w:r w:rsidR="00A5461F" w:rsidRPr="00643836">
              <w:t xml:space="preserve"> – refer to </w:t>
            </w:r>
            <w:r w:rsidR="008E0362">
              <w:rPr>
                <w:rFonts w:cstheme="minorHAnsi"/>
                <w:i/>
              </w:rPr>
              <w:t>December</w:t>
            </w:r>
            <w:r w:rsidR="00CD72E9">
              <w:rPr>
                <w:rFonts w:cstheme="minorHAnsi"/>
                <w:i/>
              </w:rPr>
              <w:t xml:space="preserve"> 201</w:t>
            </w:r>
            <w:r w:rsidR="008E0362">
              <w:rPr>
                <w:rFonts w:cstheme="minorHAnsi"/>
                <w:i/>
              </w:rPr>
              <w:t>8</w:t>
            </w:r>
            <w:r w:rsidR="00A5461F" w:rsidRPr="00643836">
              <w:rPr>
                <w:rFonts w:cstheme="minorHAnsi"/>
                <w:i/>
              </w:rPr>
              <w:t xml:space="preserve"> CTC/OHIC Measure Specification </w:t>
            </w:r>
            <w:r w:rsidR="00A5461F" w:rsidRPr="00643836">
              <w:rPr>
                <w:rFonts w:cstheme="minorHAnsi"/>
              </w:rPr>
              <w:t xml:space="preserve">document </w:t>
            </w:r>
            <w:r w:rsidR="009C02EE" w:rsidRPr="009C02EE">
              <w:rPr>
                <w:rFonts w:cstheme="minorHAnsi"/>
              </w:rPr>
              <w:t>(</w:t>
            </w:r>
            <w:r w:rsidR="009C02EE" w:rsidRPr="009C02EE">
              <w:rPr>
                <w:rFonts w:eastAsia="Calibri" w:cs="Times New Roman"/>
              </w:rPr>
              <w:t>Spec Doc.)</w:t>
            </w:r>
            <w:r w:rsidR="009C02EE">
              <w:rPr>
                <w:rFonts w:eastAsia="Calibri" w:cs="Times New Roman"/>
              </w:rPr>
              <w:t xml:space="preserve"> </w:t>
            </w:r>
            <w:r w:rsidR="00A5461F" w:rsidRPr="00643836">
              <w:rPr>
                <w:rFonts w:cstheme="minorHAnsi"/>
              </w:rPr>
              <w:t>for additional details</w:t>
            </w:r>
          </w:p>
          <w:p w:rsidR="00AA6155" w:rsidRPr="00643836" w:rsidRDefault="00AA6155" w:rsidP="00375BE9">
            <w:pPr>
              <w:pStyle w:val="Default"/>
              <w:rPr>
                <w:i/>
              </w:rPr>
            </w:pPr>
          </w:p>
          <w:p w:rsidR="00AA6155" w:rsidRPr="00643836" w:rsidRDefault="00AA6155" w:rsidP="00375BE9">
            <w:pPr>
              <w:pStyle w:val="Default"/>
            </w:pPr>
            <w:r w:rsidRPr="00643836">
              <w:t>Patient seen by a primary care clinician of the PCMH anytime within the last 24 months.</w:t>
            </w:r>
            <w:r w:rsidR="00917C4C" w:rsidRPr="00643836">
              <w:t xml:space="preserve"> (outpatient visit)</w:t>
            </w:r>
          </w:p>
          <w:p w:rsidR="00AA6155" w:rsidRPr="00643836" w:rsidRDefault="00AA6155" w:rsidP="00375BE9">
            <w:pPr>
              <w:pStyle w:val="Default"/>
            </w:pPr>
          </w:p>
          <w:p w:rsidR="00AA6155" w:rsidRPr="00643836" w:rsidRDefault="00AA6155" w:rsidP="00375BE9">
            <w:pPr>
              <w:pStyle w:val="Default"/>
              <w:rPr>
                <w:color w:val="auto"/>
              </w:rPr>
            </w:pPr>
          </w:p>
        </w:tc>
        <w:tc>
          <w:tcPr>
            <w:tcW w:w="5508" w:type="dxa"/>
            <w:gridSpan w:val="2"/>
            <w:tcBorders>
              <w:left w:val="nil"/>
              <w:right w:val="single" w:sz="4" w:space="0" w:color="auto"/>
            </w:tcBorders>
            <w:shd w:val="clear" w:color="auto" w:fill="auto"/>
          </w:tcPr>
          <w:p w:rsidR="00810A81" w:rsidRPr="00643836" w:rsidRDefault="00AA6155" w:rsidP="00810A81">
            <w:pPr>
              <w:rPr>
                <w:rFonts w:ascii="Calibri" w:hAnsi="Calibri"/>
                <w:sz w:val="24"/>
                <w:szCs w:val="24"/>
              </w:rPr>
            </w:pPr>
            <w:r w:rsidRPr="00643836">
              <w:rPr>
                <w:rFonts w:ascii="Calibri" w:hAnsi="Calibri" w:cstheme="minorHAnsi"/>
                <w:b/>
                <w:sz w:val="24"/>
                <w:szCs w:val="24"/>
              </w:rPr>
              <w:t xml:space="preserve">Helpful Tip: </w:t>
            </w:r>
            <w:r w:rsidRPr="00643836">
              <w:rPr>
                <w:rFonts w:ascii="Calibri" w:hAnsi="Calibri" w:cstheme="minorHAnsi"/>
                <w:sz w:val="24"/>
                <w:szCs w:val="24"/>
              </w:rPr>
              <w:t xml:space="preserve"> </w:t>
            </w:r>
            <w:r w:rsidR="00810A81" w:rsidRPr="00643836">
              <w:rPr>
                <w:sz w:val="24"/>
                <w:szCs w:val="24"/>
              </w:rPr>
              <w:t xml:space="preserve">Important to “clean” up your data and ensure that you are reporting on your </w:t>
            </w:r>
            <w:r w:rsidR="00810A81" w:rsidRPr="00643836">
              <w:rPr>
                <w:sz w:val="24"/>
                <w:szCs w:val="24"/>
                <w:u w:val="single"/>
              </w:rPr>
              <w:t>active patients</w:t>
            </w:r>
            <w:r w:rsidR="00810A81" w:rsidRPr="00643836">
              <w:rPr>
                <w:sz w:val="24"/>
                <w:szCs w:val="24"/>
              </w:rPr>
              <w:t>.  Be sure to review your lists regularly with your providers (annotate properly who is deceased, or transferred out according to the active patient definition). This will yield more accurate results with your quality data.</w:t>
            </w:r>
          </w:p>
          <w:p w:rsidR="00AA6155" w:rsidRPr="00643836" w:rsidRDefault="00095907" w:rsidP="008E0362">
            <w:pPr>
              <w:rPr>
                <w:rFonts w:ascii="Calibri" w:hAnsi="Calibri" w:cstheme="minorHAnsi"/>
                <w:color w:val="FF0000"/>
                <w:sz w:val="24"/>
                <w:szCs w:val="24"/>
              </w:rPr>
            </w:pPr>
            <w:r w:rsidRPr="00643836">
              <w:rPr>
                <w:rFonts w:ascii="Calibri" w:hAnsi="Calibri" w:cstheme="minorHAnsi"/>
                <w:sz w:val="24"/>
                <w:szCs w:val="24"/>
              </w:rPr>
              <w:t>Refer to pg. 1</w:t>
            </w:r>
            <w:r w:rsidR="00AA6155" w:rsidRPr="00643836">
              <w:rPr>
                <w:rFonts w:ascii="Calibri" w:hAnsi="Calibri" w:cstheme="minorHAnsi"/>
                <w:sz w:val="24"/>
                <w:szCs w:val="24"/>
              </w:rPr>
              <w:t xml:space="preserve"> of</w:t>
            </w:r>
            <w:r w:rsidRPr="00643836">
              <w:rPr>
                <w:rFonts w:ascii="Calibri" w:hAnsi="Calibri" w:cstheme="minorHAnsi"/>
                <w:sz w:val="24"/>
                <w:szCs w:val="24"/>
              </w:rPr>
              <w:t xml:space="preserve"> </w:t>
            </w:r>
            <w:r w:rsidR="00F24B8B" w:rsidRPr="00F24B8B">
              <w:rPr>
                <w:rFonts w:cstheme="minorHAnsi"/>
                <w:i/>
                <w:sz w:val="24"/>
                <w:szCs w:val="24"/>
              </w:rPr>
              <w:t>December 201</w:t>
            </w:r>
            <w:r w:rsidR="008E0362">
              <w:rPr>
                <w:rFonts w:cstheme="minorHAnsi"/>
                <w:i/>
                <w:sz w:val="24"/>
                <w:szCs w:val="24"/>
              </w:rPr>
              <w:t>8</w:t>
            </w:r>
            <w:r w:rsidR="00F24B8B" w:rsidRPr="00F24B8B">
              <w:rPr>
                <w:rFonts w:cstheme="minorHAnsi"/>
                <w:i/>
                <w:sz w:val="24"/>
                <w:szCs w:val="24"/>
              </w:rPr>
              <w:t xml:space="preserve"> CTC/OHIC Measure Specifications</w:t>
            </w:r>
            <w:r w:rsidR="00917C4C" w:rsidRPr="00643836">
              <w:rPr>
                <w:rFonts w:ascii="Calibri" w:hAnsi="Calibri" w:cstheme="minorHAnsi"/>
                <w:sz w:val="24"/>
                <w:szCs w:val="24"/>
              </w:rPr>
              <w:t xml:space="preserve"> document for:</w:t>
            </w:r>
            <w:r w:rsidR="004C0680" w:rsidRPr="00643836">
              <w:rPr>
                <w:rFonts w:ascii="Calibri" w:hAnsi="Calibri" w:cstheme="minorHAnsi"/>
                <w:sz w:val="24"/>
                <w:szCs w:val="24"/>
              </w:rPr>
              <w:t xml:space="preserve">  </w:t>
            </w:r>
            <w:r w:rsidR="00AA6155" w:rsidRPr="00643836">
              <w:rPr>
                <w:rFonts w:ascii="Calibri" w:hAnsi="Calibri" w:cstheme="minorHAnsi"/>
                <w:sz w:val="24"/>
                <w:szCs w:val="24"/>
              </w:rPr>
              <w:t xml:space="preserve">CPT </w:t>
            </w:r>
            <w:r w:rsidR="00917C4C" w:rsidRPr="00643836">
              <w:rPr>
                <w:rFonts w:cstheme="minorHAnsi"/>
                <w:sz w:val="24"/>
                <w:szCs w:val="24"/>
              </w:rPr>
              <w:t xml:space="preserve">office visit </w:t>
            </w:r>
            <w:r w:rsidR="00AA6155" w:rsidRPr="00643836">
              <w:rPr>
                <w:rFonts w:ascii="Calibri" w:hAnsi="Calibri" w:cstheme="minorHAnsi"/>
                <w:sz w:val="24"/>
                <w:szCs w:val="24"/>
              </w:rPr>
              <w:t>codes</w:t>
            </w:r>
            <w:r w:rsidR="00917C4C" w:rsidRPr="00643836">
              <w:rPr>
                <w:rFonts w:ascii="Calibri" w:hAnsi="Calibri" w:cstheme="minorHAnsi"/>
                <w:sz w:val="24"/>
                <w:szCs w:val="24"/>
              </w:rPr>
              <w:t xml:space="preserve">, </w:t>
            </w:r>
            <w:r w:rsidR="00917C4C" w:rsidRPr="00643836">
              <w:rPr>
                <w:rFonts w:cstheme="minorHAnsi"/>
                <w:sz w:val="24"/>
                <w:szCs w:val="24"/>
              </w:rPr>
              <w:t xml:space="preserve">acceptable exclusions, outpatient </w:t>
            </w:r>
            <w:r w:rsidR="00917C4C" w:rsidRPr="00643836">
              <w:rPr>
                <w:rFonts w:ascii="Calibri" w:hAnsi="Calibri" w:cstheme="minorHAnsi"/>
                <w:sz w:val="24"/>
                <w:szCs w:val="24"/>
              </w:rPr>
              <w:t xml:space="preserve">visit criteria </w:t>
            </w:r>
            <w:r w:rsidR="00AA6155" w:rsidRPr="00643836">
              <w:rPr>
                <w:rFonts w:ascii="Calibri" w:hAnsi="Calibri" w:cstheme="minorHAnsi"/>
                <w:sz w:val="24"/>
                <w:szCs w:val="24"/>
              </w:rPr>
              <w:t xml:space="preserve">and </w:t>
            </w:r>
            <w:r w:rsidR="00917C4C" w:rsidRPr="00643836">
              <w:rPr>
                <w:rFonts w:cstheme="minorHAnsi"/>
                <w:sz w:val="24"/>
                <w:szCs w:val="24"/>
              </w:rPr>
              <w:t>encounter types</w:t>
            </w:r>
            <w:r w:rsidR="00AA6155" w:rsidRPr="00643836">
              <w:rPr>
                <w:rFonts w:ascii="Calibri" w:hAnsi="Calibri" w:cstheme="minorHAnsi"/>
                <w:sz w:val="24"/>
                <w:szCs w:val="24"/>
              </w:rPr>
              <w:t xml:space="preserve">. </w:t>
            </w:r>
          </w:p>
        </w:tc>
        <w:tc>
          <w:tcPr>
            <w:tcW w:w="2880" w:type="dxa"/>
            <w:tcBorders>
              <w:left w:val="nil"/>
              <w:right w:val="single" w:sz="4" w:space="0" w:color="auto"/>
            </w:tcBorders>
            <w:shd w:val="clear" w:color="auto" w:fill="auto"/>
          </w:tcPr>
          <w:p w:rsidR="00AA6155" w:rsidRPr="00643836" w:rsidRDefault="00AA6155" w:rsidP="00375BE9">
            <w:pPr>
              <w:rPr>
                <w:rFonts w:ascii="Calibri" w:hAnsi="Calibri" w:cstheme="minorHAnsi"/>
                <w:color w:val="FF0000"/>
                <w:sz w:val="24"/>
                <w:szCs w:val="24"/>
              </w:rPr>
            </w:pPr>
          </w:p>
        </w:tc>
      </w:tr>
      <w:tr w:rsidR="00672209" w:rsidRPr="00643836" w:rsidTr="007D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6" w:type="dxa"/>
          <w:cantSplit/>
          <w:trHeight w:val="1075"/>
        </w:trPr>
        <w:tc>
          <w:tcPr>
            <w:tcW w:w="540" w:type="dxa"/>
            <w:tcBorders>
              <w:top w:val="single" w:sz="4" w:space="0" w:color="auto"/>
              <w:left w:val="single" w:sz="4" w:space="0" w:color="auto"/>
              <w:right w:val="single" w:sz="4" w:space="0" w:color="auto"/>
            </w:tcBorders>
            <w:shd w:val="clear" w:color="auto" w:fill="auto"/>
          </w:tcPr>
          <w:p w:rsidR="00672209" w:rsidRPr="00643836" w:rsidRDefault="00E07078" w:rsidP="00375BE9">
            <w:pPr>
              <w:rPr>
                <w:rFonts w:ascii="Calibri" w:hAnsi="Calibri" w:cs="Tahoma"/>
                <w:sz w:val="24"/>
                <w:szCs w:val="24"/>
              </w:rPr>
            </w:pPr>
            <w:r w:rsidRPr="00643836">
              <w:rPr>
                <w:rFonts w:ascii="Calibri" w:hAnsi="Calibri" w:cs="Tahoma"/>
                <w:sz w:val="24"/>
                <w:szCs w:val="24"/>
              </w:rPr>
              <w:lastRenderedPageBreak/>
              <w:fldChar w:fldCharType="begin">
                <w:ffData>
                  <w:name w:val=""/>
                  <w:enabled/>
                  <w:calcOnExit w:val="0"/>
                  <w:checkBox>
                    <w:sizeAuto/>
                    <w:default w:val="0"/>
                  </w:checkBox>
                </w:ffData>
              </w:fldChar>
            </w:r>
            <w:r w:rsidRPr="00643836">
              <w:rPr>
                <w:rFonts w:ascii="Calibri" w:hAnsi="Calibri" w:cs="Tahoma"/>
                <w:sz w:val="24"/>
                <w:szCs w:val="24"/>
              </w:rPr>
              <w:instrText xml:space="preserve"> FORMCHECKBOX </w:instrText>
            </w:r>
            <w:r w:rsidR="007D265C">
              <w:rPr>
                <w:rFonts w:ascii="Calibri" w:hAnsi="Calibri" w:cs="Tahoma"/>
                <w:sz w:val="24"/>
                <w:szCs w:val="24"/>
              </w:rPr>
            </w:r>
            <w:r w:rsidR="007D265C">
              <w:rPr>
                <w:rFonts w:ascii="Calibri" w:hAnsi="Calibri" w:cs="Tahoma"/>
                <w:sz w:val="24"/>
                <w:szCs w:val="24"/>
              </w:rPr>
              <w:fldChar w:fldCharType="separate"/>
            </w:r>
            <w:r w:rsidRPr="00643836">
              <w:rPr>
                <w:rFonts w:ascii="Calibri" w:hAnsi="Calibri" w:cs="Tahoma"/>
                <w:sz w:val="24"/>
                <w:szCs w:val="24"/>
              </w:rPr>
              <w:fldChar w:fldCharType="end"/>
            </w:r>
          </w:p>
        </w:tc>
        <w:tc>
          <w:tcPr>
            <w:tcW w:w="5292" w:type="dxa"/>
            <w:gridSpan w:val="2"/>
            <w:tcBorders>
              <w:top w:val="single" w:sz="4" w:space="0" w:color="auto"/>
              <w:left w:val="nil"/>
              <w:bottom w:val="single" w:sz="4" w:space="0" w:color="auto"/>
              <w:right w:val="single" w:sz="4" w:space="0" w:color="auto"/>
            </w:tcBorders>
            <w:shd w:val="clear" w:color="auto" w:fill="auto"/>
          </w:tcPr>
          <w:p w:rsidR="00075832" w:rsidRDefault="00672209" w:rsidP="00375BE9">
            <w:pPr>
              <w:rPr>
                <w:rFonts w:ascii="Calibri" w:hAnsi="Calibri" w:cstheme="minorHAnsi"/>
                <w:b/>
                <w:sz w:val="24"/>
                <w:szCs w:val="24"/>
              </w:rPr>
            </w:pPr>
            <w:r>
              <w:rPr>
                <w:rFonts w:ascii="Calibri" w:hAnsi="Calibri" w:cstheme="minorHAnsi"/>
                <w:b/>
                <w:sz w:val="24"/>
                <w:szCs w:val="24"/>
              </w:rPr>
              <w:t>Well-Child Counseling: Weight Assessment and Counseling for Nutrition and Physical Activity</w:t>
            </w:r>
            <w:r w:rsidR="00075832">
              <w:rPr>
                <w:rFonts w:ascii="Calibri" w:hAnsi="Calibri" w:cstheme="minorHAnsi"/>
                <w:b/>
                <w:sz w:val="24"/>
                <w:szCs w:val="24"/>
              </w:rPr>
              <w:t xml:space="preserve"> </w:t>
            </w:r>
            <w:r w:rsidR="00146643">
              <w:rPr>
                <w:rFonts w:ascii="Calibri" w:hAnsi="Calibri" w:cstheme="minorHAnsi"/>
                <w:b/>
                <w:sz w:val="24"/>
                <w:szCs w:val="24"/>
              </w:rPr>
              <w:t>– Ages 3-17</w:t>
            </w:r>
            <w:r w:rsidR="00E07078">
              <w:rPr>
                <w:rFonts w:ascii="Calibri" w:hAnsi="Calibri" w:cstheme="minorHAnsi"/>
                <w:b/>
                <w:sz w:val="24"/>
                <w:szCs w:val="24"/>
              </w:rPr>
              <w:t xml:space="preserve"> (HEDIS)</w:t>
            </w:r>
          </w:p>
          <w:p w:rsidR="00075832" w:rsidRDefault="00075832" w:rsidP="00375BE9">
            <w:pPr>
              <w:rPr>
                <w:rFonts w:ascii="Calibri" w:hAnsi="Calibri" w:cstheme="minorHAnsi"/>
                <w:b/>
                <w:sz w:val="24"/>
                <w:szCs w:val="24"/>
              </w:rPr>
            </w:pPr>
            <w:r>
              <w:rPr>
                <w:rFonts w:ascii="Calibri" w:hAnsi="Calibri" w:cstheme="minorHAnsi"/>
                <w:b/>
                <w:sz w:val="24"/>
                <w:szCs w:val="24"/>
              </w:rPr>
              <w:t>Contract Measure</w:t>
            </w:r>
          </w:p>
          <w:p w:rsidR="00075832" w:rsidRDefault="00075832" w:rsidP="0048392C">
            <w:pPr>
              <w:pStyle w:val="ListParagraph"/>
              <w:numPr>
                <w:ilvl w:val="0"/>
                <w:numId w:val="10"/>
              </w:numPr>
              <w:rPr>
                <w:rFonts w:cstheme="minorHAnsi"/>
                <w:sz w:val="24"/>
                <w:szCs w:val="24"/>
              </w:rPr>
            </w:pPr>
            <w:r w:rsidRPr="00CD1EA0">
              <w:rPr>
                <w:rFonts w:cstheme="minorHAnsi"/>
                <w:sz w:val="24"/>
                <w:szCs w:val="24"/>
              </w:rPr>
              <w:t>BMI % documentation</w:t>
            </w:r>
          </w:p>
          <w:p w:rsidR="00075832" w:rsidRPr="0048392C" w:rsidRDefault="00075832" w:rsidP="0048392C">
            <w:pPr>
              <w:pStyle w:val="ListParagraph"/>
              <w:numPr>
                <w:ilvl w:val="0"/>
                <w:numId w:val="10"/>
              </w:numPr>
              <w:rPr>
                <w:rFonts w:cstheme="minorHAnsi"/>
                <w:sz w:val="24"/>
                <w:szCs w:val="24"/>
              </w:rPr>
            </w:pPr>
            <w:r w:rsidRPr="0048392C">
              <w:rPr>
                <w:rFonts w:cstheme="minorHAnsi"/>
                <w:sz w:val="24"/>
                <w:szCs w:val="24"/>
              </w:rPr>
              <w:t xml:space="preserve">Counseling for nutrition, </w:t>
            </w:r>
            <w:r w:rsidRPr="0048392C">
              <w:rPr>
                <w:rFonts w:cstheme="minorHAnsi"/>
                <w:b/>
                <w:sz w:val="24"/>
                <w:szCs w:val="24"/>
              </w:rPr>
              <w:t>AND</w:t>
            </w:r>
          </w:p>
          <w:p w:rsidR="00146643" w:rsidRPr="0048392C" w:rsidRDefault="00075832" w:rsidP="0048392C">
            <w:pPr>
              <w:pStyle w:val="ListParagraph"/>
              <w:numPr>
                <w:ilvl w:val="0"/>
                <w:numId w:val="10"/>
              </w:numPr>
              <w:rPr>
                <w:rFonts w:cstheme="minorHAnsi"/>
                <w:sz w:val="24"/>
                <w:szCs w:val="24"/>
              </w:rPr>
            </w:pPr>
            <w:r w:rsidRPr="0048392C">
              <w:rPr>
                <w:rFonts w:cstheme="minorHAnsi"/>
                <w:sz w:val="24"/>
                <w:szCs w:val="24"/>
              </w:rPr>
              <w:t>Counseling for physical activity</w:t>
            </w:r>
          </w:p>
          <w:p w:rsidR="00FE0E87" w:rsidRPr="0048392C" w:rsidRDefault="00146643" w:rsidP="0048392C">
            <w:pPr>
              <w:pStyle w:val="ListParagraph"/>
              <w:numPr>
                <w:ilvl w:val="0"/>
                <w:numId w:val="10"/>
              </w:numPr>
              <w:rPr>
                <w:rFonts w:cstheme="minorHAnsi"/>
                <w:sz w:val="24"/>
                <w:szCs w:val="24"/>
              </w:rPr>
            </w:pPr>
            <w:r w:rsidRPr="0048392C">
              <w:rPr>
                <w:rFonts w:cstheme="minorHAnsi"/>
                <w:sz w:val="24"/>
                <w:szCs w:val="24"/>
              </w:rPr>
              <w:t>Look Back Period: 12 months</w:t>
            </w:r>
          </w:p>
          <w:p w:rsidR="0048392C" w:rsidRPr="0048392C" w:rsidRDefault="0048392C" w:rsidP="0048392C">
            <w:pPr>
              <w:pStyle w:val="ListParagraph"/>
              <w:numPr>
                <w:ilvl w:val="0"/>
                <w:numId w:val="10"/>
              </w:numPr>
              <w:rPr>
                <w:rFonts w:cstheme="minorHAnsi"/>
                <w:sz w:val="24"/>
                <w:szCs w:val="24"/>
              </w:rPr>
            </w:pPr>
            <w:r w:rsidRPr="0048392C">
              <w:rPr>
                <w:rFonts w:cstheme="minorHAnsi"/>
                <w:sz w:val="24"/>
                <w:szCs w:val="24"/>
              </w:rPr>
              <w:t>Targets:</w:t>
            </w:r>
          </w:p>
          <w:p w:rsidR="0048392C" w:rsidRPr="0048392C" w:rsidRDefault="0048392C" w:rsidP="0048392C">
            <w:pPr>
              <w:spacing w:after="0"/>
              <w:ind w:left="720"/>
              <w:rPr>
                <w:rFonts w:cstheme="minorHAnsi"/>
                <w:sz w:val="24"/>
                <w:szCs w:val="24"/>
              </w:rPr>
            </w:pPr>
            <w:r>
              <w:rPr>
                <w:rFonts w:cstheme="minorHAnsi"/>
                <w:sz w:val="24"/>
                <w:szCs w:val="24"/>
              </w:rPr>
              <w:t>Baseline</w:t>
            </w:r>
            <w:r w:rsidRPr="0048392C">
              <w:rPr>
                <w:rFonts w:cstheme="minorHAnsi"/>
                <w:sz w:val="24"/>
                <w:szCs w:val="24"/>
              </w:rPr>
              <w:t xml:space="preserve"> (Year 1): First repor</w:t>
            </w:r>
            <w:r>
              <w:rPr>
                <w:rFonts w:cstheme="minorHAnsi"/>
                <w:sz w:val="24"/>
                <w:szCs w:val="24"/>
              </w:rPr>
              <w:t xml:space="preserve">t due </w:t>
            </w:r>
            <w:r w:rsidR="004533D8">
              <w:rPr>
                <w:rFonts w:cstheme="minorHAnsi"/>
                <w:sz w:val="24"/>
                <w:szCs w:val="24"/>
              </w:rPr>
              <w:t>January</w:t>
            </w:r>
            <w:r>
              <w:rPr>
                <w:rFonts w:cstheme="minorHAnsi"/>
                <w:sz w:val="24"/>
                <w:szCs w:val="24"/>
              </w:rPr>
              <w:t xml:space="preserve"> 15, 2020</w:t>
            </w:r>
          </w:p>
          <w:p w:rsidR="0048392C" w:rsidRPr="0048392C" w:rsidRDefault="0048392C" w:rsidP="0048392C">
            <w:pPr>
              <w:spacing w:after="0"/>
              <w:ind w:left="720"/>
              <w:rPr>
                <w:rFonts w:cstheme="minorHAnsi"/>
                <w:sz w:val="24"/>
                <w:szCs w:val="24"/>
              </w:rPr>
            </w:pPr>
            <w:r w:rsidRPr="0048392C">
              <w:rPr>
                <w:rFonts w:cstheme="minorHAnsi"/>
                <w:sz w:val="24"/>
                <w:szCs w:val="24"/>
              </w:rPr>
              <w:t>Target for PY 1 (Year 2) will be set based on Q1 2021 reporting</w:t>
            </w:r>
          </w:p>
          <w:p w:rsidR="00FE0E87" w:rsidRDefault="0048392C" w:rsidP="0048392C">
            <w:pPr>
              <w:pStyle w:val="ListParagraph"/>
              <w:ind w:left="738"/>
              <w:rPr>
                <w:rFonts w:cstheme="minorHAnsi"/>
                <w:sz w:val="24"/>
                <w:szCs w:val="24"/>
              </w:rPr>
            </w:pPr>
            <w:r w:rsidRPr="0048392C">
              <w:rPr>
                <w:rFonts w:cstheme="minorHAnsi"/>
                <w:sz w:val="24"/>
                <w:szCs w:val="24"/>
              </w:rPr>
              <w:t>Target for PY 2 (Year 3) will be set based on Q1 2022 reporting</w:t>
            </w:r>
            <w:r w:rsidRPr="00F24B8B">
              <w:rPr>
                <w:rFonts w:cstheme="minorHAnsi"/>
                <w:sz w:val="24"/>
                <w:szCs w:val="24"/>
              </w:rPr>
              <w:t xml:space="preserve"> </w:t>
            </w:r>
          </w:p>
          <w:p w:rsidR="00672209" w:rsidRDefault="00672209" w:rsidP="00075832">
            <w:pPr>
              <w:rPr>
                <w:rFonts w:ascii="Calibri" w:hAnsi="Calibri" w:cstheme="minorHAnsi"/>
                <w:sz w:val="24"/>
                <w:szCs w:val="24"/>
              </w:rPr>
            </w:pPr>
          </w:p>
        </w:tc>
        <w:tc>
          <w:tcPr>
            <w:tcW w:w="5508" w:type="dxa"/>
            <w:gridSpan w:val="2"/>
            <w:tcBorders>
              <w:top w:val="single" w:sz="4" w:space="0" w:color="auto"/>
              <w:left w:val="nil"/>
              <w:bottom w:val="single" w:sz="4" w:space="0" w:color="auto"/>
              <w:right w:val="single" w:sz="4" w:space="0" w:color="auto"/>
            </w:tcBorders>
            <w:shd w:val="clear" w:color="auto" w:fill="auto"/>
          </w:tcPr>
          <w:p w:rsidR="00672209" w:rsidRPr="00CD1EA0" w:rsidRDefault="00E07078" w:rsidP="00375BE9">
            <w:pPr>
              <w:rPr>
                <w:rFonts w:ascii="Calibri" w:hAnsi="Calibri" w:cstheme="minorHAnsi"/>
                <w:b/>
                <w:sz w:val="24"/>
                <w:szCs w:val="24"/>
              </w:rPr>
            </w:pPr>
            <w:r w:rsidRPr="00CD1EA0">
              <w:rPr>
                <w:rFonts w:ascii="Calibri" w:hAnsi="Calibri" w:cstheme="minorHAnsi"/>
                <w:b/>
                <w:sz w:val="24"/>
                <w:szCs w:val="24"/>
              </w:rPr>
              <w:t xml:space="preserve">Helpful Tips: </w:t>
            </w:r>
          </w:p>
          <w:p w:rsidR="00E07078" w:rsidRDefault="00E07078" w:rsidP="00375BE9">
            <w:pPr>
              <w:rPr>
                <w:rFonts w:ascii="Calibri" w:hAnsi="Calibri" w:cstheme="minorHAnsi"/>
                <w:sz w:val="24"/>
                <w:szCs w:val="24"/>
              </w:rPr>
            </w:pPr>
            <w:r>
              <w:rPr>
                <w:rFonts w:ascii="Calibri" w:hAnsi="Calibri" w:cstheme="minorHAnsi"/>
                <w:sz w:val="24"/>
                <w:szCs w:val="24"/>
              </w:rPr>
              <w:t>Numerator:</w:t>
            </w:r>
          </w:p>
          <w:p w:rsidR="00E07078" w:rsidRDefault="00E07078" w:rsidP="00375BE9">
            <w:pPr>
              <w:rPr>
                <w:rFonts w:ascii="Calibri" w:hAnsi="Calibri" w:cstheme="minorHAnsi"/>
                <w:sz w:val="24"/>
                <w:szCs w:val="24"/>
              </w:rPr>
            </w:pPr>
            <w:r>
              <w:rPr>
                <w:rFonts w:ascii="Calibri" w:hAnsi="Calibri" w:cstheme="minorHAnsi"/>
                <w:sz w:val="24"/>
                <w:szCs w:val="24"/>
              </w:rPr>
              <w:t>BMI percentile documentation must include height, weight and BMI % from the same data source.</w:t>
            </w:r>
          </w:p>
          <w:p w:rsidR="00352630" w:rsidRDefault="00352630" w:rsidP="00352630">
            <w:pPr>
              <w:rPr>
                <w:rFonts w:ascii="Calibri" w:hAnsi="Calibri" w:cstheme="minorHAnsi"/>
                <w:sz w:val="24"/>
                <w:szCs w:val="24"/>
              </w:rPr>
            </w:pPr>
            <w:r>
              <w:rPr>
                <w:rFonts w:ascii="Calibri" w:hAnsi="Calibri" w:cstheme="minorHAnsi"/>
                <w:sz w:val="24"/>
                <w:szCs w:val="24"/>
              </w:rPr>
              <w:t>Counseling for n</w:t>
            </w:r>
            <w:r w:rsidR="00E07078">
              <w:rPr>
                <w:rFonts w:ascii="Calibri" w:hAnsi="Calibri" w:cstheme="minorHAnsi"/>
                <w:sz w:val="24"/>
                <w:szCs w:val="24"/>
              </w:rPr>
              <w:t xml:space="preserve">utrition must </w:t>
            </w:r>
            <w:r>
              <w:rPr>
                <w:rFonts w:ascii="Calibri" w:hAnsi="Calibri" w:cstheme="minorHAnsi"/>
                <w:sz w:val="24"/>
                <w:szCs w:val="24"/>
              </w:rPr>
              <w:t>include documentation of counseling or referral for nutrition ed</w:t>
            </w:r>
            <w:r w:rsidR="0092314E">
              <w:rPr>
                <w:rFonts w:ascii="Calibri" w:hAnsi="Calibri" w:cstheme="minorHAnsi"/>
                <w:sz w:val="24"/>
                <w:szCs w:val="24"/>
              </w:rPr>
              <w:t>ucation during measurement year</w:t>
            </w:r>
            <w:r>
              <w:rPr>
                <w:rFonts w:ascii="Calibri" w:hAnsi="Calibri" w:cstheme="minorHAnsi"/>
                <w:sz w:val="24"/>
                <w:szCs w:val="24"/>
              </w:rPr>
              <w:t>. Counseling for physical activity must include documentation of counseling or referral for physical activity during measurement year.</w:t>
            </w:r>
          </w:p>
          <w:p w:rsidR="00672209" w:rsidRDefault="00870574" w:rsidP="00352630">
            <w:pPr>
              <w:rPr>
                <w:rFonts w:ascii="Calibri" w:hAnsi="Calibri" w:cstheme="minorHAnsi"/>
                <w:sz w:val="24"/>
                <w:szCs w:val="24"/>
              </w:rPr>
            </w:pPr>
            <w:r>
              <w:rPr>
                <w:rFonts w:ascii="Calibri" w:hAnsi="Calibri" w:cstheme="minorHAnsi"/>
                <w:sz w:val="24"/>
                <w:szCs w:val="24"/>
              </w:rPr>
              <w:t>Denominator: All patients 3-17 at end of measurement year with documented encounter during measurement year</w:t>
            </w:r>
          </w:p>
        </w:tc>
        <w:tc>
          <w:tcPr>
            <w:tcW w:w="2880" w:type="dxa"/>
            <w:tcBorders>
              <w:top w:val="single" w:sz="4" w:space="0" w:color="auto"/>
              <w:left w:val="nil"/>
              <w:bottom w:val="single" w:sz="4" w:space="0" w:color="auto"/>
              <w:right w:val="single" w:sz="4" w:space="0" w:color="auto"/>
            </w:tcBorders>
            <w:shd w:val="clear" w:color="auto" w:fill="auto"/>
          </w:tcPr>
          <w:p w:rsidR="00C01A9C" w:rsidRDefault="005C37DB" w:rsidP="005C37DB">
            <w:pPr>
              <w:rPr>
                <w:rFonts w:ascii="Calibri" w:hAnsi="Calibri" w:cstheme="minorHAnsi"/>
                <w:sz w:val="24"/>
                <w:szCs w:val="24"/>
              </w:rPr>
            </w:pPr>
            <w:r>
              <w:rPr>
                <w:rFonts w:ascii="Calibri" w:hAnsi="Calibri" w:cstheme="minorHAnsi"/>
                <w:sz w:val="24"/>
                <w:szCs w:val="24"/>
              </w:rPr>
              <w:t>Reporting guidance: credit for this measure is given when both BMI and evidence of counseling (for physical activity and nutrition) are documented in the EHR.</w:t>
            </w:r>
          </w:p>
          <w:p w:rsidR="00672209" w:rsidRPr="00643836" w:rsidRDefault="00C01A9C" w:rsidP="005C37DB">
            <w:pPr>
              <w:rPr>
                <w:rFonts w:ascii="Calibri" w:hAnsi="Calibri" w:cstheme="minorHAnsi"/>
                <w:sz w:val="24"/>
                <w:szCs w:val="24"/>
              </w:rPr>
            </w:pPr>
            <w:r>
              <w:rPr>
                <w:rFonts w:ascii="Calibri" w:hAnsi="Calibri" w:cstheme="minorHAnsi"/>
                <w:sz w:val="24"/>
                <w:szCs w:val="24"/>
              </w:rPr>
              <w:t>In some EHRs, the WCC template</w:t>
            </w:r>
            <w:r w:rsidR="00254624">
              <w:rPr>
                <w:rFonts w:ascii="Calibri" w:hAnsi="Calibri" w:cstheme="minorHAnsi"/>
                <w:sz w:val="24"/>
                <w:szCs w:val="24"/>
              </w:rPr>
              <w:t xml:space="preserve">s have been built to include </w:t>
            </w:r>
            <w:r>
              <w:rPr>
                <w:rFonts w:ascii="Calibri" w:hAnsi="Calibri" w:cstheme="minorHAnsi"/>
                <w:sz w:val="24"/>
                <w:szCs w:val="24"/>
              </w:rPr>
              <w:t xml:space="preserve">language pertaining to </w:t>
            </w:r>
            <w:r w:rsidR="00254624">
              <w:rPr>
                <w:rFonts w:ascii="Calibri" w:hAnsi="Calibri" w:cstheme="minorHAnsi"/>
                <w:sz w:val="24"/>
                <w:szCs w:val="24"/>
              </w:rPr>
              <w:t xml:space="preserve">nutrition and physical activity </w:t>
            </w:r>
            <w:r>
              <w:rPr>
                <w:rFonts w:ascii="Calibri" w:hAnsi="Calibri" w:cstheme="minorHAnsi"/>
                <w:sz w:val="24"/>
                <w:szCs w:val="24"/>
              </w:rPr>
              <w:t>counseling</w:t>
            </w:r>
            <w:r w:rsidR="00254624">
              <w:rPr>
                <w:rFonts w:ascii="Calibri" w:hAnsi="Calibri" w:cstheme="minorHAnsi"/>
                <w:sz w:val="24"/>
                <w:szCs w:val="24"/>
              </w:rPr>
              <w:t>, and in some EHRs, documentation is added to the template during or after the visit. Please talk with your facilitator if you have questions regarding documentation for this measure.</w:t>
            </w:r>
            <w:r w:rsidR="009235D3">
              <w:rPr>
                <w:rFonts w:ascii="Calibri" w:hAnsi="Calibri" w:cstheme="minorHAnsi"/>
                <w:sz w:val="24"/>
                <w:szCs w:val="24"/>
              </w:rPr>
              <w:t xml:space="preserve"> </w:t>
            </w:r>
          </w:p>
        </w:tc>
      </w:tr>
      <w:tr w:rsidR="008F0E6D" w:rsidRPr="00643836" w:rsidTr="007D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6" w:type="dxa"/>
        </w:trPr>
        <w:tc>
          <w:tcPr>
            <w:tcW w:w="14220" w:type="dxa"/>
            <w:gridSpan w:val="6"/>
            <w:tcBorders>
              <w:top w:val="single" w:sz="4" w:space="0" w:color="auto"/>
              <w:left w:val="single" w:sz="4" w:space="0" w:color="auto"/>
              <w:bottom w:val="single" w:sz="4" w:space="0" w:color="auto"/>
              <w:right w:val="single" w:sz="4" w:space="0" w:color="auto"/>
            </w:tcBorders>
            <w:hideMark/>
          </w:tcPr>
          <w:p w:rsidR="008F0E6D" w:rsidRPr="00643836" w:rsidRDefault="008F0E6D" w:rsidP="00582D7D">
            <w:pPr>
              <w:rPr>
                <w:rFonts w:ascii="Calibri" w:hAnsi="Calibri" w:cstheme="minorHAnsi"/>
                <w:sz w:val="24"/>
                <w:szCs w:val="24"/>
              </w:rPr>
            </w:pPr>
          </w:p>
        </w:tc>
      </w:tr>
      <w:tr w:rsidR="00CB6433" w:rsidRPr="00643836" w:rsidTr="007D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6" w:type="dxa"/>
          <w:cantSplit/>
          <w:trHeight w:val="828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CB6433" w:rsidRPr="00643836" w:rsidRDefault="00CB6433" w:rsidP="004F7A08">
            <w:pPr>
              <w:rPr>
                <w:rFonts w:ascii="Calibri" w:hAnsi="Calibri"/>
                <w:sz w:val="24"/>
                <w:szCs w:val="24"/>
              </w:rPr>
            </w:pPr>
            <w:r w:rsidRPr="00643836">
              <w:rPr>
                <w:rFonts w:ascii="Calibri" w:hAnsi="Calibri" w:cs="Tahoma"/>
                <w:sz w:val="24"/>
                <w:szCs w:val="24"/>
              </w:rPr>
              <w:lastRenderedPageBreak/>
              <w:fldChar w:fldCharType="begin">
                <w:ffData>
                  <w:name w:val="Check38"/>
                  <w:enabled/>
                  <w:calcOnExit w:val="0"/>
                  <w:checkBox>
                    <w:sizeAuto/>
                    <w:default w:val="0"/>
                  </w:checkBox>
                </w:ffData>
              </w:fldChar>
            </w:r>
            <w:r w:rsidRPr="00643836">
              <w:rPr>
                <w:rFonts w:ascii="Calibri" w:hAnsi="Calibri" w:cs="Tahoma"/>
                <w:sz w:val="24"/>
                <w:szCs w:val="24"/>
              </w:rPr>
              <w:instrText xml:space="preserve"> FORMCHECKBOX </w:instrText>
            </w:r>
            <w:r w:rsidR="007D265C">
              <w:rPr>
                <w:rFonts w:ascii="Calibri" w:hAnsi="Calibri" w:cs="Tahoma"/>
                <w:sz w:val="24"/>
                <w:szCs w:val="24"/>
              </w:rPr>
            </w:r>
            <w:r w:rsidR="007D265C">
              <w:rPr>
                <w:rFonts w:ascii="Calibri" w:hAnsi="Calibri" w:cs="Tahoma"/>
                <w:sz w:val="24"/>
                <w:szCs w:val="24"/>
              </w:rPr>
              <w:fldChar w:fldCharType="separate"/>
            </w:r>
            <w:r w:rsidRPr="00643836">
              <w:rPr>
                <w:rFonts w:ascii="Calibri" w:hAnsi="Calibri" w:cs="Tahoma"/>
                <w:sz w:val="24"/>
                <w:szCs w:val="24"/>
              </w:rPr>
              <w:fldChar w:fldCharType="end"/>
            </w:r>
            <w:r w:rsidRPr="00643836">
              <w:rPr>
                <w:rFonts w:ascii="Calibri" w:hAnsi="Calibri" w:cs="Tahoma"/>
                <w:sz w:val="24"/>
                <w:szCs w:val="24"/>
              </w:rPr>
              <w:t xml:space="preserve"> </w:t>
            </w:r>
          </w:p>
        </w:tc>
        <w:tc>
          <w:tcPr>
            <w:tcW w:w="5292" w:type="dxa"/>
            <w:gridSpan w:val="2"/>
            <w:tcBorders>
              <w:top w:val="single" w:sz="4" w:space="0" w:color="auto"/>
              <w:left w:val="nil"/>
              <w:bottom w:val="single" w:sz="4" w:space="0" w:color="auto"/>
              <w:right w:val="single" w:sz="4" w:space="0" w:color="auto"/>
            </w:tcBorders>
            <w:shd w:val="clear" w:color="auto" w:fill="auto"/>
            <w:hideMark/>
          </w:tcPr>
          <w:p w:rsidR="00F778A5" w:rsidRDefault="00F778A5" w:rsidP="00F778A5">
            <w:pPr>
              <w:rPr>
                <w:rFonts w:ascii="Calibri" w:hAnsi="Calibri" w:cstheme="minorHAnsi"/>
                <w:b/>
                <w:sz w:val="24"/>
                <w:szCs w:val="24"/>
              </w:rPr>
            </w:pPr>
            <w:r>
              <w:rPr>
                <w:rFonts w:ascii="Calibri" w:hAnsi="Calibri" w:cstheme="minorHAnsi"/>
                <w:b/>
                <w:sz w:val="24"/>
                <w:szCs w:val="24"/>
              </w:rPr>
              <w:t>Developmental Screening in the First Three Years of Life – Ages 0-3 (Oregon Pediatric Improvement Partnership at Oregon Health and Science University)</w:t>
            </w:r>
          </w:p>
          <w:p w:rsidR="00F778A5" w:rsidRDefault="00F778A5" w:rsidP="00192AD1">
            <w:pPr>
              <w:spacing w:after="120" w:line="240" w:lineRule="auto"/>
              <w:rPr>
                <w:rFonts w:ascii="Calibri" w:hAnsi="Calibri" w:cstheme="minorHAnsi"/>
                <w:b/>
                <w:sz w:val="24"/>
                <w:szCs w:val="24"/>
              </w:rPr>
            </w:pPr>
            <w:r>
              <w:rPr>
                <w:rFonts w:ascii="Calibri" w:hAnsi="Calibri" w:cstheme="minorHAnsi"/>
                <w:b/>
                <w:sz w:val="24"/>
                <w:szCs w:val="24"/>
              </w:rPr>
              <w:t>Contract Measure</w:t>
            </w:r>
          </w:p>
          <w:p w:rsidR="00F778A5" w:rsidRPr="0048392C" w:rsidRDefault="00F778A5" w:rsidP="0048392C">
            <w:pPr>
              <w:pStyle w:val="ListParagraph"/>
              <w:numPr>
                <w:ilvl w:val="0"/>
                <w:numId w:val="11"/>
              </w:numPr>
              <w:spacing w:after="100" w:afterAutospacing="1"/>
              <w:rPr>
                <w:rFonts w:cstheme="minorHAnsi"/>
                <w:sz w:val="24"/>
                <w:szCs w:val="24"/>
              </w:rPr>
            </w:pPr>
            <w:r w:rsidRPr="0048392C">
              <w:rPr>
                <w:rFonts w:cstheme="minorHAnsi"/>
                <w:sz w:val="24"/>
                <w:szCs w:val="24"/>
              </w:rPr>
              <w:t>Children ages 0-3 screened at well visits for risk of developmental, behavioral and social delays using standardized tool</w:t>
            </w:r>
          </w:p>
          <w:p w:rsidR="00F24B8B" w:rsidRPr="0048392C" w:rsidRDefault="00F778A5" w:rsidP="0048392C">
            <w:pPr>
              <w:pStyle w:val="ListParagraph"/>
              <w:numPr>
                <w:ilvl w:val="0"/>
                <w:numId w:val="11"/>
              </w:numPr>
              <w:spacing w:after="100" w:afterAutospacing="1"/>
              <w:rPr>
                <w:sz w:val="24"/>
                <w:szCs w:val="24"/>
              </w:rPr>
            </w:pPr>
            <w:r w:rsidRPr="0048392C">
              <w:rPr>
                <w:rFonts w:cstheme="minorHAnsi"/>
                <w:sz w:val="24"/>
                <w:szCs w:val="24"/>
              </w:rPr>
              <w:t xml:space="preserve">Recommended screening ages: 9, 18 </w:t>
            </w:r>
            <w:r w:rsidR="000F1609" w:rsidRPr="0048392C">
              <w:rPr>
                <w:rFonts w:cstheme="minorHAnsi"/>
                <w:sz w:val="24"/>
                <w:szCs w:val="24"/>
              </w:rPr>
              <w:t>and</w:t>
            </w:r>
            <w:r w:rsidRPr="0048392C">
              <w:rPr>
                <w:rFonts w:cstheme="minorHAnsi"/>
                <w:sz w:val="24"/>
                <w:szCs w:val="24"/>
              </w:rPr>
              <w:t xml:space="preserve"> 24 or 30 months</w:t>
            </w:r>
          </w:p>
          <w:p w:rsidR="00F778A5" w:rsidRPr="0048392C" w:rsidRDefault="00F778A5" w:rsidP="0048392C">
            <w:pPr>
              <w:pStyle w:val="ListParagraph"/>
              <w:numPr>
                <w:ilvl w:val="0"/>
                <w:numId w:val="11"/>
              </w:numPr>
              <w:spacing w:after="100" w:afterAutospacing="1"/>
              <w:rPr>
                <w:sz w:val="24"/>
                <w:szCs w:val="24"/>
              </w:rPr>
            </w:pPr>
            <w:r w:rsidRPr="0048392C">
              <w:rPr>
                <w:rFonts w:cstheme="minorHAnsi"/>
                <w:sz w:val="24"/>
                <w:szCs w:val="24"/>
              </w:rPr>
              <w:t>Look Back Period</w:t>
            </w:r>
            <w:r w:rsidR="009317A0" w:rsidRPr="0048392C">
              <w:rPr>
                <w:rFonts w:cstheme="minorHAnsi"/>
                <w:sz w:val="24"/>
                <w:szCs w:val="24"/>
              </w:rPr>
              <w:t xml:space="preserve">: </w:t>
            </w:r>
            <w:r w:rsidRPr="0048392C">
              <w:rPr>
                <w:sz w:val="24"/>
                <w:szCs w:val="24"/>
              </w:rPr>
              <w:t xml:space="preserve">Screenings must be completed prior to the patient’s birthdate. In order to account for patients with birthdates at the beginning of the measurement year, reports should account for these encounters accordingly and place a lookback period on the patient’s DOB rather than the measurement period. In order to account for age appropriate screenings, this look back should not exceed a </w:t>
            </w:r>
            <w:r w:rsidR="00F24B8B" w:rsidRPr="0048392C">
              <w:rPr>
                <w:sz w:val="24"/>
                <w:szCs w:val="24"/>
              </w:rPr>
              <w:t>6-month</w:t>
            </w:r>
            <w:r w:rsidRPr="0048392C">
              <w:rPr>
                <w:sz w:val="24"/>
                <w:szCs w:val="24"/>
              </w:rPr>
              <w:t xml:space="preserve"> lookback from the DOB in order to avoid erroneously counting developmental screenings used for prior years of age. </w:t>
            </w:r>
          </w:p>
          <w:p w:rsidR="0048392C" w:rsidRPr="0048392C" w:rsidRDefault="0048392C" w:rsidP="0048392C">
            <w:pPr>
              <w:pStyle w:val="ListParagraph"/>
              <w:numPr>
                <w:ilvl w:val="0"/>
                <w:numId w:val="11"/>
              </w:numPr>
              <w:rPr>
                <w:rFonts w:cstheme="minorHAnsi"/>
                <w:sz w:val="24"/>
                <w:szCs w:val="24"/>
              </w:rPr>
            </w:pPr>
            <w:r w:rsidRPr="0048392C">
              <w:rPr>
                <w:rFonts w:cstheme="minorHAnsi"/>
                <w:sz w:val="24"/>
                <w:szCs w:val="24"/>
              </w:rPr>
              <w:t>Targets:</w:t>
            </w:r>
          </w:p>
          <w:p w:rsidR="0048392C" w:rsidRPr="0048392C" w:rsidRDefault="0048392C" w:rsidP="0048392C">
            <w:pPr>
              <w:spacing w:after="0"/>
              <w:ind w:left="720"/>
              <w:rPr>
                <w:rFonts w:cstheme="minorHAnsi"/>
                <w:sz w:val="24"/>
                <w:szCs w:val="24"/>
              </w:rPr>
            </w:pPr>
            <w:r>
              <w:rPr>
                <w:rFonts w:cstheme="minorHAnsi"/>
                <w:sz w:val="24"/>
                <w:szCs w:val="24"/>
              </w:rPr>
              <w:t>Baseline</w:t>
            </w:r>
            <w:r w:rsidRPr="0048392C">
              <w:rPr>
                <w:rFonts w:cstheme="minorHAnsi"/>
                <w:sz w:val="24"/>
                <w:szCs w:val="24"/>
              </w:rPr>
              <w:t xml:space="preserve"> (Year 1): First repor</w:t>
            </w:r>
            <w:r>
              <w:rPr>
                <w:rFonts w:cstheme="minorHAnsi"/>
                <w:sz w:val="24"/>
                <w:szCs w:val="24"/>
              </w:rPr>
              <w:t xml:space="preserve">t due </w:t>
            </w:r>
            <w:r w:rsidR="004533D8">
              <w:rPr>
                <w:rFonts w:cstheme="minorHAnsi"/>
                <w:sz w:val="24"/>
                <w:szCs w:val="24"/>
              </w:rPr>
              <w:t>January</w:t>
            </w:r>
            <w:r>
              <w:rPr>
                <w:rFonts w:cstheme="minorHAnsi"/>
                <w:sz w:val="24"/>
                <w:szCs w:val="24"/>
              </w:rPr>
              <w:t xml:space="preserve"> 15, 2020</w:t>
            </w:r>
          </w:p>
          <w:p w:rsidR="0048392C" w:rsidRPr="0048392C" w:rsidRDefault="0048392C" w:rsidP="0048392C">
            <w:pPr>
              <w:spacing w:after="0"/>
              <w:ind w:left="720"/>
              <w:rPr>
                <w:rFonts w:cstheme="minorHAnsi"/>
                <w:sz w:val="24"/>
                <w:szCs w:val="24"/>
              </w:rPr>
            </w:pPr>
            <w:r w:rsidRPr="0048392C">
              <w:rPr>
                <w:rFonts w:cstheme="minorHAnsi"/>
                <w:sz w:val="24"/>
                <w:szCs w:val="24"/>
              </w:rPr>
              <w:t>Target for PY 1 (Year 2) will be set based on Q1 2021 reporting</w:t>
            </w:r>
          </w:p>
          <w:p w:rsidR="0048392C" w:rsidRDefault="0048392C" w:rsidP="0048392C">
            <w:pPr>
              <w:pStyle w:val="ListParagraph"/>
              <w:ind w:left="738"/>
              <w:rPr>
                <w:rFonts w:cstheme="minorHAnsi"/>
                <w:sz w:val="24"/>
                <w:szCs w:val="24"/>
              </w:rPr>
            </w:pPr>
            <w:r w:rsidRPr="0048392C">
              <w:rPr>
                <w:rFonts w:cstheme="minorHAnsi"/>
                <w:sz w:val="24"/>
                <w:szCs w:val="24"/>
              </w:rPr>
              <w:t>Target for PY 2 (Year 3) will be set based on Q1 2022 reporting</w:t>
            </w:r>
            <w:r w:rsidRPr="00F24B8B">
              <w:rPr>
                <w:rFonts w:cstheme="minorHAnsi"/>
                <w:sz w:val="24"/>
                <w:szCs w:val="24"/>
              </w:rPr>
              <w:t xml:space="preserve"> </w:t>
            </w:r>
          </w:p>
          <w:p w:rsidR="005C3907" w:rsidRPr="00F24B8B" w:rsidRDefault="005C3907" w:rsidP="00F24B8B">
            <w:pPr>
              <w:spacing w:after="0"/>
              <w:ind w:left="720"/>
              <w:rPr>
                <w:rFonts w:cstheme="minorHAnsi"/>
                <w:sz w:val="24"/>
                <w:szCs w:val="24"/>
              </w:rPr>
            </w:pPr>
          </w:p>
        </w:tc>
        <w:tc>
          <w:tcPr>
            <w:tcW w:w="5508" w:type="dxa"/>
            <w:gridSpan w:val="2"/>
            <w:tcBorders>
              <w:left w:val="nil"/>
              <w:right w:val="single" w:sz="4" w:space="0" w:color="auto"/>
            </w:tcBorders>
            <w:shd w:val="clear" w:color="auto" w:fill="auto"/>
          </w:tcPr>
          <w:p w:rsidR="00F778A5" w:rsidRDefault="00F778A5" w:rsidP="00F778A5">
            <w:pPr>
              <w:rPr>
                <w:rFonts w:ascii="Calibri" w:hAnsi="Calibri" w:cstheme="minorHAnsi"/>
                <w:sz w:val="24"/>
                <w:szCs w:val="24"/>
              </w:rPr>
            </w:pPr>
            <w:r>
              <w:rPr>
                <w:rFonts w:ascii="Calibri" w:hAnsi="Calibri" w:cstheme="minorHAnsi"/>
                <w:b/>
                <w:sz w:val="24"/>
                <w:szCs w:val="24"/>
              </w:rPr>
              <w:t xml:space="preserve">Helpful Tips: </w:t>
            </w:r>
            <w:r w:rsidRPr="00CD1EA0">
              <w:rPr>
                <w:rFonts w:ascii="Calibri" w:hAnsi="Calibri" w:cstheme="minorHAnsi"/>
                <w:sz w:val="24"/>
                <w:szCs w:val="24"/>
              </w:rPr>
              <w:t>Documentation required to mee</w:t>
            </w:r>
            <w:r w:rsidRPr="005D5369">
              <w:rPr>
                <w:rFonts w:ascii="Calibri" w:hAnsi="Calibri" w:cstheme="minorHAnsi"/>
                <w:sz w:val="24"/>
                <w:szCs w:val="24"/>
              </w:rPr>
              <w:t>t measure:</w:t>
            </w:r>
            <w:r>
              <w:rPr>
                <w:rFonts w:ascii="Calibri" w:hAnsi="Calibri" w:cstheme="minorHAnsi"/>
                <w:sz w:val="24"/>
                <w:szCs w:val="24"/>
              </w:rPr>
              <w:t xml:space="preserve"> </w:t>
            </w:r>
            <w:r w:rsidRPr="00CD1EA0">
              <w:rPr>
                <w:rFonts w:ascii="Calibri" w:hAnsi="Calibri" w:cstheme="minorHAnsi"/>
                <w:sz w:val="24"/>
                <w:szCs w:val="24"/>
              </w:rPr>
              <w:t xml:space="preserve">Note indicating date of screening, the tool used and evidence of screening result or score. </w:t>
            </w:r>
          </w:p>
          <w:p w:rsidR="00F778A5" w:rsidRDefault="00F778A5" w:rsidP="00F778A5">
            <w:pPr>
              <w:rPr>
                <w:rFonts w:ascii="Calibri" w:hAnsi="Calibri" w:cstheme="minorHAnsi"/>
                <w:sz w:val="24"/>
                <w:szCs w:val="24"/>
              </w:rPr>
            </w:pPr>
            <w:r>
              <w:rPr>
                <w:rFonts w:ascii="Calibri" w:hAnsi="Calibri" w:cstheme="minorHAnsi"/>
                <w:sz w:val="24"/>
                <w:szCs w:val="24"/>
              </w:rPr>
              <w:t>Acceptable evidence-based tools: Ages and Stages Questionnaire (ASQ) - 2mos-5yrs, Ages and Stages Questionnaire – 3</w:t>
            </w:r>
            <w:r w:rsidRPr="00CD1EA0">
              <w:rPr>
                <w:rFonts w:ascii="Calibri" w:hAnsi="Calibri" w:cstheme="minorHAnsi"/>
                <w:sz w:val="24"/>
                <w:szCs w:val="24"/>
                <w:vertAlign w:val="superscript"/>
              </w:rPr>
              <w:t>rd</w:t>
            </w:r>
            <w:r>
              <w:rPr>
                <w:rFonts w:ascii="Calibri" w:hAnsi="Calibri" w:cstheme="minorHAnsi"/>
                <w:sz w:val="24"/>
                <w:szCs w:val="24"/>
              </w:rPr>
              <w:t xml:space="preserve"> Edition (ASQ-3), Battelle Developmental Inventory Screening (BDI-ST) – Birth-95mos, Bayley Infant Neur</w:t>
            </w:r>
            <w:r w:rsidR="00AE70C3">
              <w:rPr>
                <w:rFonts w:ascii="Calibri" w:hAnsi="Calibri" w:cstheme="minorHAnsi"/>
                <w:sz w:val="24"/>
                <w:szCs w:val="24"/>
              </w:rPr>
              <w:t>o</w:t>
            </w:r>
            <w:r>
              <w:rPr>
                <w:rFonts w:ascii="Calibri" w:hAnsi="Calibri" w:cstheme="minorHAnsi"/>
                <w:sz w:val="24"/>
                <w:szCs w:val="24"/>
              </w:rPr>
              <w:t>-developmental Screen (BINS) – 3mos-2yrs, Brigance Screens-II – Birth-90mos, Child Development Inventory (CDI) – 18mos-6yrs, Parents’ Evaluation of Development Status (PEDS) – Birth-8yrs, Parents’ Evaluation of Develo</w:t>
            </w:r>
            <w:r w:rsidR="00B75527">
              <w:rPr>
                <w:rFonts w:ascii="Calibri" w:hAnsi="Calibri" w:cstheme="minorHAnsi"/>
                <w:sz w:val="24"/>
                <w:szCs w:val="24"/>
              </w:rPr>
              <w:t>p</w:t>
            </w:r>
            <w:r>
              <w:rPr>
                <w:rFonts w:ascii="Calibri" w:hAnsi="Calibri" w:cstheme="minorHAnsi"/>
                <w:sz w:val="24"/>
                <w:szCs w:val="24"/>
              </w:rPr>
              <w:t>mental Status – Developmental Milestones (PEDS-DM), Survey of Wellbeing of Young Children</w:t>
            </w:r>
          </w:p>
          <w:p w:rsidR="00F778A5" w:rsidRDefault="00F778A5" w:rsidP="00F778A5">
            <w:pPr>
              <w:rPr>
                <w:sz w:val="24"/>
                <w:szCs w:val="24"/>
              </w:rPr>
            </w:pPr>
            <w:r>
              <w:rPr>
                <w:rFonts w:ascii="Calibri" w:hAnsi="Calibri" w:cstheme="minorHAnsi"/>
                <w:sz w:val="24"/>
                <w:szCs w:val="24"/>
              </w:rPr>
              <w:t xml:space="preserve">Numerator: </w:t>
            </w:r>
            <w:r w:rsidRPr="00D935E6">
              <w:rPr>
                <w:sz w:val="24"/>
                <w:szCs w:val="24"/>
              </w:rPr>
              <w:t>All active patients who had screening for risk of developmental, behavioral and social delays using a standardized screening tool that was documented by their first, second or third birthday</w:t>
            </w:r>
          </w:p>
          <w:p w:rsidR="00CB6433" w:rsidRPr="00643836" w:rsidRDefault="00F778A5" w:rsidP="00F778A5">
            <w:pPr>
              <w:rPr>
                <w:rFonts w:ascii="Calibri" w:hAnsi="Calibri" w:cstheme="minorHAnsi"/>
                <w:color w:val="FF0000"/>
                <w:sz w:val="24"/>
                <w:szCs w:val="24"/>
              </w:rPr>
            </w:pPr>
            <w:r>
              <w:rPr>
                <w:rFonts w:ascii="Calibri" w:hAnsi="Calibri" w:cstheme="minorHAnsi"/>
                <w:sz w:val="24"/>
                <w:szCs w:val="24"/>
              </w:rPr>
              <w:t>Denominator: Sum of all active patients seen by PCP in previous 12 months who turned 1, 2 or 3 during measurement year</w:t>
            </w:r>
          </w:p>
        </w:tc>
        <w:tc>
          <w:tcPr>
            <w:tcW w:w="2880" w:type="dxa"/>
            <w:tcBorders>
              <w:left w:val="nil"/>
              <w:right w:val="single" w:sz="4" w:space="0" w:color="auto"/>
            </w:tcBorders>
            <w:shd w:val="clear" w:color="auto" w:fill="auto"/>
          </w:tcPr>
          <w:p w:rsidR="00CB6433" w:rsidRPr="00643836" w:rsidRDefault="00CB6433" w:rsidP="004F7A08">
            <w:pPr>
              <w:rPr>
                <w:rFonts w:ascii="Calibri" w:hAnsi="Calibri" w:cstheme="minorHAnsi"/>
                <w:color w:val="FF0000"/>
                <w:sz w:val="24"/>
                <w:szCs w:val="24"/>
              </w:rPr>
            </w:pPr>
          </w:p>
        </w:tc>
      </w:tr>
      <w:tr w:rsidR="00024FCA" w:rsidRPr="00643836" w:rsidTr="007D26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6" w:type="dxa"/>
          <w:trHeight w:val="8288"/>
        </w:trPr>
        <w:tc>
          <w:tcPr>
            <w:tcW w:w="540" w:type="dxa"/>
            <w:hideMark/>
          </w:tcPr>
          <w:p w:rsidR="00024FCA" w:rsidRPr="00643836" w:rsidRDefault="00024FCA" w:rsidP="009371E3">
            <w:pPr>
              <w:rPr>
                <w:rFonts w:ascii="Calibri" w:hAnsi="Calibri"/>
                <w:sz w:val="24"/>
                <w:szCs w:val="24"/>
              </w:rPr>
            </w:pPr>
            <w:r w:rsidRPr="00643836">
              <w:rPr>
                <w:rFonts w:ascii="Calibri" w:hAnsi="Calibri" w:cs="Tahoma"/>
                <w:sz w:val="24"/>
                <w:szCs w:val="24"/>
              </w:rPr>
              <w:lastRenderedPageBreak/>
              <w:fldChar w:fldCharType="begin">
                <w:ffData>
                  <w:name w:val="Check38"/>
                  <w:enabled/>
                  <w:calcOnExit w:val="0"/>
                  <w:checkBox>
                    <w:sizeAuto/>
                    <w:default w:val="0"/>
                  </w:checkBox>
                </w:ffData>
              </w:fldChar>
            </w:r>
            <w:r w:rsidRPr="00643836">
              <w:rPr>
                <w:rFonts w:ascii="Calibri" w:hAnsi="Calibri" w:cs="Tahoma"/>
                <w:sz w:val="24"/>
                <w:szCs w:val="24"/>
              </w:rPr>
              <w:instrText xml:space="preserve"> FORMCHECKBOX </w:instrText>
            </w:r>
            <w:r w:rsidR="007D265C">
              <w:rPr>
                <w:rFonts w:ascii="Calibri" w:hAnsi="Calibri" w:cs="Tahoma"/>
                <w:sz w:val="24"/>
                <w:szCs w:val="24"/>
              </w:rPr>
            </w:r>
            <w:r w:rsidR="007D265C">
              <w:rPr>
                <w:rFonts w:ascii="Calibri" w:hAnsi="Calibri" w:cs="Tahoma"/>
                <w:sz w:val="24"/>
                <w:szCs w:val="24"/>
              </w:rPr>
              <w:fldChar w:fldCharType="separate"/>
            </w:r>
            <w:r w:rsidRPr="00643836">
              <w:rPr>
                <w:rFonts w:ascii="Calibri" w:hAnsi="Calibri" w:cs="Tahoma"/>
                <w:sz w:val="24"/>
                <w:szCs w:val="24"/>
              </w:rPr>
              <w:fldChar w:fldCharType="end"/>
            </w:r>
            <w:r w:rsidRPr="00643836">
              <w:rPr>
                <w:rFonts w:ascii="Calibri" w:hAnsi="Calibri" w:cs="Tahoma"/>
                <w:sz w:val="24"/>
                <w:szCs w:val="24"/>
              </w:rPr>
              <w:t xml:space="preserve"> </w:t>
            </w:r>
          </w:p>
        </w:tc>
        <w:tc>
          <w:tcPr>
            <w:tcW w:w="5292" w:type="dxa"/>
            <w:gridSpan w:val="2"/>
            <w:hideMark/>
          </w:tcPr>
          <w:p w:rsidR="00024FCA" w:rsidRDefault="00024FCA" w:rsidP="009371E3">
            <w:pPr>
              <w:rPr>
                <w:rFonts w:ascii="Calibri" w:hAnsi="Calibri" w:cstheme="minorHAnsi"/>
                <w:b/>
                <w:sz w:val="24"/>
                <w:szCs w:val="24"/>
              </w:rPr>
            </w:pPr>
            <w:r>
              <w:rPr>
                <w:rFonts w:ascii="Calibri" w:hAnsi="Calibri" w:cstheme="minorHAnsi"/>
                <w:b/>
                <w:sz w:val="24"/>
                <w:szCs w:val="24"/>
              </w:rPr>
              <w:t>Adolescent Well Care Visit – ages 12-21 (HEDIS)</w:t>
            </w:r>
          </w:p>
          <w:p w:rsidR="00024FCA" w:rsidRDefault="00024FCA" w:rsidP="009371E3">
            <w:pPr>
              <w:spacing w:after="120" w:line="240" w:lineRule="auto"/>
              <w:rPr>
                <w:rFonts w:ascii="Calibri" w:hAnsi="Calibri" w:cstheme="minorHAnsi"/>
                <w:b/>
                <w:sz w:val="24"/>
                <w:szCs w:val="24"/>
              </w:rPr>
            </w:pPr>
            <w:r>
              <w:rPr>
                <w:rFonts w:ascii="Calibri" w:hAnsi="Calibri" w:cstheme="minorHAnsi"/>
                <w:b/>
                <w:sz w:val="24"/>
                <w:szCs w:val="24"/>
              </w:rPr>
              <w:t>Contract Measure</w:t>
            </w:r>
          </w:p>
          <w:p w:rsidR="00024FCA" w:rsidRPr="0048392C" w:rsidRDefault="002B310D" w:rsidP="0048392C">
            <w:pPr>
              <w:pStyle w:val="ListParagraph"/>
              <w:numPr>
                <w:ilvl w:val="0"/>
                <w:numId w:val="11"/>
              </w:numPr>
              <w:rPr>
                <w:rFonts w:cstheme="minorHAnsi"/>
                <w:sz w:val="24"/>
                <w:szCs w:val="24"/>
              </w:rPr>
            </w:pPr>
            <w:r w:rsidRPr="0048392C">
              <w:rPr>
                <w:rFonts w:cstheme="minorHAnsi"/>
                <w:sz w:val="24"/>
                <w:szCs w:val="24"/>
              </w:rPr>
              <w:t>The percentage of active patients 12-21 with a documented well visit during measurement year</w:t>
            </w:r>
          </w:p>
          <w:p w:rsidR="002B310D" w:rsidRPr="0048392C" w:rsidRDefault="002B310D" w:rsidP="0048392C">
            <w:pPr>
              <w:pStyle w:val="ListParagraph"/>
              <w:numPr>
                <w:ilvl w:val="0"/>
                <w:numId w:val="11"/>
              </w:numPr>
              <w:rPr>
                <w:rFonts w:cstheme="minorHAnsi"/>
                <w:sz w:val="24"/>
                <w:szCs w:val="24"/>
              </w:rPr>
            </w:pPr>
            <w:r w:rsidRPr="0048392C">
              <w:rPr>
                <w:rFonts w:cstheme="minorHAnsi"/>
                <w:sz w:val="24"/>
                <w:szCs w:val="24"/>
              </w:rPr>
              <w:t>Look back Period: 12 months</w:t>
            </w:r>
          </w:p>
          <w:p w:rsidR="0048392C" w:rsidRPr="0048392C" w:rsidRDefault="0048392C" w:rsidP="0048392C">
            <w:pPr>
              <w:pStyle w:val="ListParagraph"/>
              <w:numPr>
                <w:ilvl w:val="0"/>
                <w:numId w:val="11"/>
              </w:numPr>
              <w:rPr>
                <w:rFonts w:cstheme="minorHAnsi"/>
                <w:sz w:val="24"/>
                <w:szCs w:val="24"/>
              </w:rPr>
            </w:pPr>
            <w:r w:rsidRPr="0048392C">
              <w:rPr>
                <w:rFonts w:cstheme="minorHAnsi"/>
                <w:sz w:val="24"/>
                <w:szCs w:val="24"/>
              </w:rPr>
              <w:t>Targets:</w:t>
            </w:r>
          </w:p>
          <w:p w:rsidR="0048392C" w:rsidRPr="0048392C" w:rsidRDefault="0048392C" w:rsidP="0048392C">
            <w:pPr>
              <w:spacing w:after="0"/>
              <w:ind w:left="720"/>
              <w:rPr>
                <w:rFonts w:cstheme="minorHAnsi"/>
                <w:sz w:val="24"/>
                <w:szCs w:val="24"/>
              </w:rPr>
            </w:pPr>
            <w:r>
              <w:rPr>
                <w:rFonts w:cstheme="minorHAnsi"/>
                <w:sz w:val="24"/>
                <w:szCs w:val="24"/>
              </w:rPr>
              <w:t>Baseline</w:t>
            </w:r>
            <w:r w:rsidRPr="0048392C">
              <w:rPr>
                <w:rFonts w:cstheme="minorHAnsi"/>
                <w:sz w:val="24"/>
                <w:szCs w:val="24"/>
              </w:rPr>
              <w:t xml:space="preserve"> (Year 1): First repor</w:t>
            </w:r>
            <w:r>
              <w:rPr>
                <w:rFonts w:cstheme="minorHAnsi"/>
                <w:sz w:val="24"/>
                <w:szCs w:val="24"/>
              </w:rPr>
              <w:t xml:space="preserve">t due </w:t>
            </w:r>
            <w:r w:rsidR="004533D8">
              <w:rPr>
                <w:rFonts w:cstheme="minorHAnsi"/>
                <w:sz w:val="24"/>
                <w:szCs w:val="24"/>
              </w:rPr>
              <w:t>January</w:t>
            </w:r>
            <w:r>
              <w:rPr>
                <w:rFonts w:cstheme="minorHAnsi"/>
                <w:sz w:val="24"/>
                <w:szCs w:val="24"/>
              </w:rPr>
              <w:t xml:space="preserve"> 15, 2020</w:t>
            </w:r>
          </w:p>
          <w:p w:rsidR="0048392C" w:rsidRPr="0048392C" w:rsidRDefault="0048392C" w:rsidP="0048392C">
            <w:pPr>
              <w:spacing w:after="0"/>
              <w:ind w:left="720"/>
              <w:rPr>
                <w:rFonts w:cstheme="minorHAnsi"/>
                <w:sz w:val="24"/>
                <w:szCs w:val="24"/>
              </w:rPr>
            </w:pPr>
            <w:r w:rsidRPr="0048392C">
              <w:rPr>
                <w:rFonts w:cstheme="minorHAnsi"/>
                <w:sz w:val="24"/>
                <w:szCs w:val="24"/>
              </w:rPr>
              <w:t>Target for PY 1 (Year 2) will be set based on Q1 2021 reporting</w:t>
            </w:r>
          </w:p>
          <w:p w:rsidR="0048392C" w:rsidRDefault="0048392C" w:rsidP="0048392C">
            <w:pPr>
              <w:pStyle w:val="ListParagraph"/>
              <w:ind w:left="738"/>
              <w:rPr>
                <w:rFonts w:cstheme="minorHAnsi"/>
                <w:sz w:val="24"/>
                <w:szCs w:val="24"/>
              </w:rPr>
            </w:pPr>
            <w:r w:rsidRPr="0048392C">
              <w:rPr>
                <w:rFonts w:cstheme="minorHAnsi"/>
                <w:sz w:val="24"/>
                <w:szCs w:val="24"/>
              </w:rPr>
              <w:t>Target for PY 2 (Year 3) will be set based on Q1 2022 reporting</w:t>
            </w:r>
            <w:r w:rsidRPr="00F24B8B">
              <w:rPr>
                <w:rFonts w:cstheme="minorHAnsi"/>
                <w:sz w:val="24"/>
                <w:szCs w:val="24"/>
              </w:rPr>
              <w:t xml:space="preserve"> </w:t>
            </w:r>
          </w:p>
          <w:p w:rsidR="00024FCA" w:rsidRPr="00024FCA" w:rsidRDefault="00024FCA" w:rsidP="00024FCA">
            <w:pPr>
              <w:rPr>
                <w:rFonts w:cstheme="minorHAnsi"/>
              </w:rPr>
            </w:pPr>
          </w:p>
        </w:tc>
        <w:tc>
          <w:tcPr>
            <w:tcW w:w="5508" w:type="dxa"/>
            <w:gridSpan w:val="2"/>
          </w:tcPr>
          <w:p w:rsidR="002B310D" w:rsidRPr="002B310D" w:rsidRDefault="00024FCA" w:rsidP="002B310D">
            <w:pPr>
              <w:rPr>
                <w:rFonts w:ascii="Calibri" w:hAnsi="Calibri" w:cstheme="minorHAnsi"/>
                <w:b/>
                <w:sz w:val="24"/>
                <w:szCs w:val="24"/>
              </w:rPr>
            </w:pPr>
            <w:r>
              <w:rPr>
                <w:rFonts w:ascii="Calibri" w:hAnsi="Calibri" w:cstheme="minorHAnsi"/>
                <w:b/>
                <w:sz w:val="24"/>
                <w:szCs w:val="24"/>
              </w:rPr>
              <w:t xml:space="preserve">Helpful Tips: </w:t>
            </w:r>
          </w:p>
          <w:p w:rsidR="00024FCA" w:rsidRDefault="00024FCA" w:rsidP="002B310D">
            <w:pPr>
              <w:rPr>
                <w:sz w:val="24"/>
                <w:szCs w:val="24"/>
              </w:rPr>
            </w:pPr>
            <w:r>
              <w:rPr>
                <w:rFonts w:ascii="Calibri" w:hAnsi="Calibri" w:cstheme="minorHAnsi"/>
                <w:sz w:val="24"/>
                <w:szCs w:val="24"/>
              </w:rPr>
              <w:t xml:space="preserve">Numerator: </w:t>
            </w:r>
            <w:r w:rsidRPr="00D935E6">
              <w:rPr>
                <w:sz w:val="24"/>
                <w:szCs w:val="24"/>
              </w:rPr>
              <w:t xml:space="preserve">All active patients </w:t>
            </w:r>
            <w:r w:rsidR="002B310D">
              <w:rPr>
                <w:sz w:val="24"/>
                <w:szCs w:val="24"/>
              </w:rPr>
              <w:t>12-21 at end of measurement year with a note indicating a visit to a PCP or OBGYN, the date of the well visit and evidence of</w:t>
            </w:r>
            <w:r w:rsidR="00BB29DE">
              <w:rPr>
                <w:sz w:val="24"/>
                <w:szCs w:val="24"/>
              </w:rPr>
              <w:t xml:space="preserve"> all of the following</w:t>
            </w:r>
            <w:r w:rsidR="002B310D">
              <w:rPr>
                <w:sz w:val="24"/>
                <w:szCs w:val="24"/>
              </w:rPr>
              <w:t>: health and development history (physical and mental), a physical exam, health education/anticipatory guidance</w:t>
            </w:r>
          </w:p>
          <w:p w:rsidR="00024FCA" w:rsidRDefault="002B310D" w:rsidP="002B310D">
            <w:pPr>
              <w:rPr>
                <w:rFonts w:ascii="Calibri" w:hAnsi="Calibri" w:cstheme="minorHAnsi"/>
                <w:sz w:val="24"/>
                <w:szCs w:val="24"/>
              </w:rPr>
            </w:pPr>
            <w:r>
              <w:rPr>
                <w:rFonts w:ascii="Calibri" w:hAnsi="Calibri" w:cstheme="minorHAnsi"/>
                <w:sz w:val="24"/>
                <w:szCs w:val="24"/>
              </w:rPr>
              <w:t>Denominator: All active patients 12-21 years of age at the end of the measurement year</w:t>
            </w:r>
          </w:p>
          <w:p w:rsidR="002B310D" w:rsidRPr="00643836" w:rsidRDefault="002B310D" w:rsidP="002B310D">
            <w:pPr>
              <w:rPr>
                <w:rFonts w:ascii="Calibri" w:hAnsi="Calibri" w:cstheme="minorHAnsi"/>
                <w:color w:val="FF0000"/>
                <w:sz w:val="24"/>
                <w:szCs w:val="24"/>
              </w:rPr>
            </w:pPr>
            <w:r>
              <w:rPr>
                <w:rFonts w:ascii="Calibri" w:hAnsi="Calibri" w:cstheme="minorHAnsi"/>
                <w:sz w:val="24"/>
                <w:szCs w:val="24"/>
              </w:rPr>
              <w:t xml:space="preserve">Codes to identify Adolescent Well-Care Visits: </w:t>
            </w:r>
          </w:p>
          <w:p w:rsidR="002B310D" w:rsidRDefault="002B310D" w:rsidP="002B310D">
            <w:pPr>
              <w:pStyle w:val="Default"/>
              <w:rPr>
                <w:rFonts w:cstheme="minorHAnsi"/>
                <w:color w:val="auto"/>
              </w:rPr>
            </w:pPr>
            <w:r w:rsidRPr="002B310D">
              <w:rPr>
                <w:rFonts w:cstheme="minorHAnsi"/>
                <w:color w:val="auto"/>
              </w:rPr>
              <w:t xml:space="preserve">CPT: 99383-99385; 99393-99395 </w:t>
            </w:r>
          </w:p>
          <w:p w:rsidR="002B310D" w:rsidRPr="002B310D" w:rsidRDefault="002B310D" w:rsidP="002B310D">
            <w:pPr>
              <w:pStyle w:val="Default"/>
              <w:rPr>
                <w:rFonts w:cstheme="minorHAnsi"/>
                <w:color w:val="auto"/>
              </w:rPr>
            </w:pPr>
          </w:p>
          <w:p w:rsidR="002B310D" w:rsidRPr="00643836" w:rsidRDefault="002B310D" w:rsidP="002B310D">
            <w:pPr>
              <w:rPr>
                <w:rFonts w:ascii="Calibri" w:hAnsi="Calibri" w:cstheme="minorHAnsi"/>
                <w:color w:val="FF0000"/>
                <w:sz w:val="24"/>
                <w:szCs w:val="24"/>
              </w:rPr>
            </w:pPr>
            <w:r w:rsidRPr="002B310D">
              <w:rPr>
                <w:rFonts w:ascii="Calibri" w:hAnsi="Calibri" w:cstheme="minorHAnsi"/>
                <w:sz w:val="24"/>
                <w:szCs w:val="24"/>
              </w:rPr>
              <w:t>ICD-10: Z00.00, Z00.01, Z00.121, Z00.129, Z00.5, Z00.8, Z02.0, Z02.1, Z02.2, Z02.3, Z02.4, Z02.5, Z02.6, Z02.71, Z02.79, Z02.81, Z02.82, Z02.83, Z02.89, Z02.9</w:t>
            </w:r>
            <w:r>
              <w:t xml:space="preserve"> </w:t>
            </w:r>
          </w:p>
        </w:tc>
        <w:tc>
          <w:tcPr>
            <w:tcW w:w="2880" w:type="dxa"/>
          </w:tcPr>
          <w:p w:rsidR="00024FCA" w:rsidRPr="00643836" w:rsidRDefault="00024FCA" w:rsidP="009371E3">
            <w:pPr>
              <w:rPr>
                <w:rFonts w:ascii="Calibri" w:hAnsi="Calibri" w:cstheme="minorHAnsi"/>
                <w:color w:val="FF0000"/>
                <w:sz w:val="24"/>
                <w:szCs w:val="24"/>
              </w:rPr>
            </w:pPr>
          </w:p>
        </w:tc>
      </w:tr>
    </w:tbl>
    <w:p w:rsidR="00D72CED" w:rsidRPr="00192AD1" w:rsidRDefault="00024FCA" w:rsidP="00024FCA">
      <w:pPr>
        <w:tabs>
          <w:tab w:val="left" w:pos="1140"/>
        </w:tabs>
        <w:rPr>
          <w:sz w:val="24"/>
          <w:szCs w:val="24"/>
        </w:rPr>
      </w:pPr>
      <w:r>
        <w:rPr>
          <w:sz w:val="24"/>
          <w:szCs w:val="24"/>
        </w:rPr>
        <w:tab/>
      </w:r>
    </w:p>
    <w:sectPr w:rsidR="00D72CED" w:rsidRPr="00192AD1" w:rsidSect="00024FCA">
      <w:footerReference w:type="default" r:id="rId15"/>
      <w:headerReference w:type="first" r:id="rId16"/>
      <w:footerReference w:type="first" r:id="rId17"/>
      <w:pgSz w:w="15840" w:h="12240" w:orient="landscape"/>
      <w:pgMar w:top="270" w:right="576" w:bottom="720" w:left="720" w:header="432" w:footer="7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B17" w:rsidRDefault="00136B17">
      <w:pPr>
        <w:spacing w:after="0" w:line="240" w:lineRule="auto"/>
      </w:pPr>
      <w:r>
        <w:separator/>
      </w:r>
    </w:p>
  </w:endnote>
  <w:endnote w:type="continuationSeparator" w:id="0">
    <w:p w:rsidR="00136B17" w:rsidRDefault="0013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38960"/>
      <w:docPartObj>
        <w:docPartGallery w:val="Page Numbers (Bottom of Page)"/>
        <w:docPartUnique/>
      </w:docPartObj>
    </w:sdtPr>
    <w:sdtEndPr>
      <w:rPr>
        <w:noProof/>
      </w:rPr>
    </w:sdtEndPr>
    <w:sdtContent>
      <w:p w:rsidR="00A25853" w:rsidRDefault="00A25853">
        <w:pPr>
          <w:pStyle w:val="Footer"/>
          <w:jc w:val="right"/>
        </w:pPr>
        <w:r>
          <w:fldChar w:fldCharType="begin"/>
        </w:r>
        <w:r>
          <w:instrText xml:space="preserve"> PAGE   \* MERGEFORMAT </w:instrText>
        </w:r>
        <w:r>
          <w:fldChar w:fldCharType="separate"/>
        </w:r>
        <w:r w:rsidR="007D265C">
          <w:rPr>
            <w:noProof/>
          </w:rPr>
          <w:t>6</w:t>
        </w:r>
        <w:r>
          <w:rPr>
            <w:noProof/>
          </w:rPr>
          <w:fldChar w:fldCharType="end"/>
        </w:r>
      </w:p>
    </w:sdtContent>
  </w:sdt>
  <w:p w:rsidR="00747504" w:rsidRPr="00D625BA" w:rsidRDefault="007D265C" w:rsidP="00D625BA">
    <w:pPr>
      <w:pStyle w:val="Footer"/>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6F5" w:rsidRDefault="002506F5">
    <w:pPr>
      <w:pStyle w:val="Footer"/>
    </w:pPr>
    <w:r>
      <w:t xml:space="preserve">11 11 18 </w:t>
    </w:r>
  </w:p>
  <w:p w:rsidR="00747504" w:rsidRDefault="007D265C" w:rsidP="00934603">
    <w:pPr>
      <w:pStyle w:val="Footer"/>
      <w:ind w:lef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B17" w:rsidRDefault="00136B17">
      <w:pPr>
        <w:spacing w:after="0" w:line="240" w:lineRule="auto"/>
      </w:pPr>
      <w:r>
        <w:separator/>
      </w:r>
    </w:p>
  </w:footnote>
  <w:footnote w:type="continuationSeparator" w:id="0">
    <w:p w:rsidR="00136B17" w:rsidRDefault="00136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504" w:rsidRPr="00B36D06" w:rsidRDefault="007D265C" w:rsidP="00B36D06">
    <w:pPr>
      <w:pStyle w:val="Header"/>
      <w:ind w:left="720"/>
      <w:rPr>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4487"/>
    <w:multiLevelType w:val="hybridMultilevel"/>
    <w:tmpl w:val="6AC0B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E474D6"/>
    <w:multiLevelType w:val="hybridMultilevel"/>
    <w:tmpl w:val="3370D90C"/>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 w15:restartNumberingAfterBreak="0">
    <w:nsid w:val="1F652A9D"/>
    <w:multiLevelType w:val="hybridMultilevel"/>
    <w:tmpl w:val="219E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51645"/>
    <w:multiLevelType w:val="hybridMultilevel"/>
    <w:tmpl w:val="0898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4787A"/>
    <w:multiLevelType w:val="hybridMultilevel"/>
    <w:tmpl w:val="F0C4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450D1"/>
    <w:multiLevelType w:val="hybridMultilevel"/>
    <w:tmpl w:val="4574E1C6"/>
    <w:lvl w:ilvl="0" w:tplc="AD4E34F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383F7614"/>
    <w:multiLevelType w:val="hybridMultilevel"/>
    <w:tmpl w:val="3BC20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48631B"/>
    <w:multiLevelType w:val="hybridMultilevel"/>
    <w:tmpl w:val="7970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50628"/>
    <w:multiLevelType w:val="hybridMultilevel"/>
    <w:tmpl w:val="E012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01E1E"/>
    <w:multiLevelType w:val="hybridMultilevel"/>
    <w:tmpl w:val="5122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32358"/>
    <w:multiLevelType w:val="hybridMultilevel"/>
    <w:tmpl w:val="3C4C93E2"/>
    <w:lvl w:ilvl="0" w:tplc="AD4E34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033086"/>
    <w:multiLevelType w:val="hybridMultilevel"/>
    <w:tmpl w:val="5D5E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803FC"/>
    <w:multiLevelType w:val="hybridMultilevel"/>
    <w:tmpl w:val="3EFE0624"/>
    <w:lvl w:ilvl="0" w:tplc="AD4E34F0">
      <w:start w:val="1"/>
      <w:numFmt w:val="bullet"/>
      <w:lvlText w:val="¨"/>
      <w:lvlJc w:val="left"/>
      <w:pPr>
        <w:ind w:left="720" w:hanging="360"/>
      </w:pPr>
      <w:rPr>
        <w:rFonts w:ascii="Wingdings" w:hAnsi="Wingdings" w:hint="default"/>
      </w:rPr>
    </w:lvl>
    <w:lvl w:ilvl="1" w:tplc="1FC88C3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D5784C"/>
    <w:multiLevelType w:val="hybridMultilevel"/>
    <w:tmpl w:val="06F8A5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6115F1"/>
    <w:multiLevelType w:val="hybridMultilevel"/>
    <w:tmpl w:val="F360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B150D"/>
    <w:multiLevelType w:val="hybridMultilevel"/>
    <w:tmpl w:val="9B860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15"/>
  </w:num>
  <w:num w:numId="4">
    <w:abstractNumId w:val="5"/>
  </w:num>
  <w:num w:numId="5">
    <w:abstractNumId w:val="10"/>
  </w:num>
  <w:num w:numId="6">
    <w:abstractNumId w:val="13"/>
  </w:num>
  <w:num w:numId="7">
    <w:abstractNumId w:val="14"/>
  </w:num>
  <w:num w:numId="8">
    <w:abstractNumId w:val="6"/>
  </w:num>
  <w:num w:numId="9">
    <w:abstractNumId w:val="11"/>
  </w:num>
  <w:num w:numId="10">
    <w:abstractNumId w:val="1"/>
  </w:num>
  <w:num w:numId="11">
    <w:abstractNumId w:val="2"/>
  </w:num>
  <w:num w:numId="12">
    <w:abstractNumId w:val="3"/>
  </w:num>
  <w:num w:numId="13">
    <w:abstractNumId w:val="8"/>
  </w:num>
  <w:num w:numId="14">
    <w:abstractNumId w:val="7"/>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55"/>
    <w:rsid w:val="000153A9"/>
    <w:rsid w:val="00017167"/>
    <w:rsid w:val="00020D93"/>
    <w:rsid w:val="00024FCA"/>
    <w:rsid w:val="0004263B"/>
    <w:rsid w:val="00042C52"/>
    <w:rsid w:val="00043AEC"/>
    <w:rsid w:val="000464D5"/>
    <w:rsid w:val="000520E0"/>
    <w:rsid w:val="00075832"/>
    <w:rsid w:val="00090FE7"/>
    <w:rsid w:val="00095907"/>
    <w:rsid w:val="000B005A"/>
    <w:rsid w:val="000B1D10"/>
    <w:rsid w:val="000D3A8D"/>
    <w:rsid w:val="000F1360"/>
    <w:rsid w:val="000F1609"/>
    <w:rsid w:val="000F704B"/>
    <w:rsid w:val="000F7ED5"/>
    <w:rsid w:val="00136B17"/>
    <w:rsid w:val="00146643"/>
    <w:rsid w:val="00184202"/>
    <w:rsid w:val="00192AD1"/>
    <w:rsid w:val="001A6825"/>
    <w:rsid w:val="001A6EF6"/>
    <w:rsid w:val="001B2C9A"/>
    <w:rsid w:val="001C2023"/>
    <w:rsid w:val="001C69AA"/>
    <w:rsid w:val="002123A7"/>
    <w:rsid w:val="0021477C"/>
    <w:rsid w:val="00232BDB"/>
    <w:rsid w:val="00234D04"/>
    <w:rsid w:val="00237812"/>
    <w:rsid w:val="002437D2"/>
    <w:rsid w:val="002506F5"/>
    <w:rsid w:val="00254624"/>
    <w:rsid w:val="002A01D7"/>
    <w:rsid w:val="002B310D"/>
    <w:rsid w:val="002C236F"/>
    <w:rsid w:val="002D3696"/>
    <w:rsid w:val="00301C08"/>
    <w:rsid w:val="003144D8"/>
    <w:rsid w:val="00331900"/>
    <w:rsid w:val="00352630"/>
    <w:rsid w:val="00367620"/>
    <w:rsid w:val="00371C0D"/>
    <w:rsid w:val="00380108"/>
    <w:rsid w:val="0038033A"/>
    <w:rsid w:val="003813C7"/>
    <w:rsid w:val="00381F6A"/>
    <w:rsid w:val="00391ABC"/>
    <w:rsid w:val="003B5FF6"/>
    <w:rsid w:val="003B77FC"/>
    <w:rsid w:val="00422BA3"/>
    <w:rsid w:val="00430874"/>
    <w:rsid w:val="00440ACC"/>
    <w:rsid w:val="004533D8"/>
    <w:rsid w:val="00453ACA"/>
    <w:rsid w:val="004636B6"/>
    <w:rsid w:val="00481B68"/>
    <w:rsid w:val="00482520"/>
    <w:rsid w:val="0048392C"/>
    <w:rsid w:val="004B755A"/>
    <w:rsid w:val="004C0680"/>
    <w:rsid w:val="004E78FD"/>
    <w:rsid w:val="004E7C1B"/>
    <w:rsid w:val="004F17BF"/>
    <w:rsid w:val="005238AB"/>
    <w:rsid w:val="00537F05"/>
    <w:rsid w:val="00540E7F"/>
    <w:rsid w:val="00582D7D"/>
    <w:rsid w:val="005A5D98"/>
    <w:rsid w:val="005C37DB"/>
    <w:rsid w:val="005C3907"/>
    <w:rsid w:val="005C73A5"/>
    <w:rsid w:val="005D5369"/>
    <w:rsid w:val="005F147A"/>
    <w:rsid w:val="00605AC1"/>
    <w:rsid w:val="00612073"/>
    <w:rsid w:val="00643836"/>
    <w:rsid w:val="0066547A"/>
    <w:rsid w:val="00672209"/>
    <w:rsid w:val="006C3DF1"/>
    <w:rsid w:val="007063BE"/>
    <w:rsid w:val="00732122"/>
    <w:rsid w:val="00737E70"/>
    <w:rsid w:val="007577AE"/>
    <w:rsid w:val="007959B2"/>
    <w:rsid w:val="007A2B12"/>
    <w:rsid w:val="007A4288"/>
    <w:rsid w:val="007D265C"/>
    <w:rsid w:val="007E531D"/>
    <w:rsid w:val="007F2114"/>
    <w:rsid w:val="007F6F4C"/>
    <w:rsid w:val="00810A81"/>
    <w:rsid w:val="00826788"/>
    <w:rsid w:val="00830822"/>
    <w:rsid w:val="008418EB"/>
    <w:rsid w:val="00870574"/>
    <w:rsid w:val="00892C27"/>
    <w:rsid w:val="008B1BB2"/>
    <w:rsid w:val="008B4D1C"/>
    <w:rsid w:val="008B7B84"/>
    <w:rsid w:val="008D7030"/>
    <w:rsid w:val="008E0362"/>
    <w:rsid w:val="008E37AA"/>
    <w:rsid w:val="008F0E6D"/>
    <w:rsid w:val="008F682F"/>
    <w:rsid w:val="00914D7A"/>
    <w:rsid w:val="00917C4C"/>
    <w:rsid w:val="0092314E"/>
    <w:rsid w:val="009235D3"/>
    <w:rsid w:val="009317A0"/>
    <w:rsid w:val="00950BA9"/>
    <w:rsid w:val="009921F5"/>
    <w:rsid w:val="009A5964"/>
    <w:rsid w:val="009B1A76"/>
    <w:rsid w:val="009C02EE"/>
    <w:rsid w:val="009C6B0F"/>
    <w:rsid w:val="009D052F"/>
    <w:rsid w:val="00A055D3"/>
    <w:rsid w:val="00A1398F"/>
    <w:rsid w:val="00A25853"/>
    <w:rsid w:val="00A31EA5"/>
    <w:rsid w:val="00A5461F"/>
    <w:rsid w:val="00A717F4"/>
    <w:rsid w:val="00AA6155"/>
    <w:rsid w:val="00AB0B78"/>
    <w:rsid w:val="00AE671E"/>
    <w:rsid w:val="00AE70C3"/>
    <w:rsid w:val="00B131C3"/>
    <w:rsid w:val="00B452EC"/>
    <w:rsid w:val="00B52CB3"/>
    <w:rsid w:val="00B61608"/>
    <w:rsid w:val="00B75527"/>
    <w:rsid w:val="00B861F2"/>
    <w:rsid w:val="00BB03E6"/>
    <w:rsid w:val="00BB0E68"/>
    <w:rsid w:val="00BB29DE"/>
    <w:rsid w:val="00BB5D3B"/>
    <w:rsid w:val="00BF0AC4"/>
    <w:rsid w:val="00C01A9C"/>
    <w:rsid w:val="00C24203"/>
    <w:rsid w:val="00C361A6"/>
    <w:rsid w:val="00C36E86"/>
    <w:rsid w:val="00C6202D"/>
    <w:rsid w:val="00C70B14"/>
    <w:rsid w:val="00C73FA3"/>
    <w:rsid w:val="00C832B9"/>
    <w:rsid w:val="00CA4D2C"/>
    <w:rsid w:val="00CB6433"/>
    <w:rsid w:val="00CC1E45"/>
    <w:rsid w:val="00CC7617"/>
    <w:rsid w:val="00CD1EA0"/>
    <w:rsid w:val="00CD72E9"/>
    <w:rsid w:val="00CE70E6"/>
    <w:rsid w:val="00D167B3"/>
    <w:rsid w:val="00D274C7"/>
    <w:rsid w:val="00D41AE5"/>
    <w:rsid w:val="00D46C59"/>
    <w:rsid w:val="00D53F93"/>
    <w:rsid w:val="00D6003F"/>
    <w:rsid w:val="00D6407C"/>
    <w:rsid w:val="00D66963"/>
    <w:rsid w:val="00D72CED"/>
    <w:rsid w:val="00D834F1"/>
    <w:rsid w:val="00D935E6"/>
    <w:rsid w:val="00DC5F6B"/>
    <w:rsid w:val="00DC60EC"/>
    <w:rsid w:val="00DD0E80"/>
    <w:rsid w:val="00DE397C"/>
    <w:rsid w:val="00DF3FA9"/>
    <w:rsid w:val="00DF59EA"/>
    <w:rsid w:val="00E0541A"/>
    <w:rsid w:val="00E07078"/>
    <w:rsid w:val="00E12654"/>
    <w:rsid w:val="00E321DB"/>
    <w:rsid w:val="00E76AF6"/>
    <w:rsid w:val="00EC783A"/>
    <w:rsid w:val="00ED3A2D"/>
    <w:rsid w:val="00ED3DBF"/>
    <w:rsid w:val="00F20C27"/>
    <w:rsid w:val="00F21FFD"/>
    <w:rsid w:val="00F2311C"/>
    <w:rsid w:val="00F24B8B"/>
    <w:rsid w:val="00F31357"/>
    <w:rsid w:val="00F32DDD"/>
    <w:rsid w:val="00F410F6"/>
    <w:rsid w:val="00F5277F"/>
    <w:rsid w:val="00F55EC5"/>
    <w:rsid w:val="00F778A5"/>
    <w:rsid w:val="00F841F4"/>
    <w:rsid w:val="00FA77A8"/>
    <w:rsid w:val="00FE0E87"/>
    <w:rsid w:val="00FE432F"/>
    <w:rsid w:val="00FE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722329"/>
  <w15:docId w15:val="{9B0BC692-7995-4569-94D2-E5ECF956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155"/>
    <w:pPr>
      <w:spacing w:after="200" w:line="276" w:lineRule="auto"/>
    </w:pPr>
  </w:style>
  <w:style w:type="paragraph" w:styleId="Heading2">
    <w:name w:val="heading 2"/>
    <w:basedOn w:val="Normal"/>
    <w:next w:val="Normal"/>
    <w:link w:val="Heading2Char"/>
    <w:uiPriority w:val="9"/>
    <w:unhideWhenUsed/>
    <w:qFormat/>
    <w:rsid w:val="000F7ED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155"/>
  </w:style>
  <w:style w:type="paragraph" w:styleId="Footer">
    <w:name w:val="footer"/>
    <w:basedOn w:val="Normal"/>
    <w:link w:val="FooterChar"/>
    <w:uiPriority w:val="99"/>
    <w:unhideWhenUsed/>
    <w:rsid w:val="00AA6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155"/>
  </w:style>
  <w:style w:type="table" w:styleId="TableGrid">
    <w:name w:val="Table Grid"/>
    <w:basedOn w:val="TableNormal"/>
    <w:uiPriority w:val="59"/>
    <w:rsid w:val="00AA6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15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A6155"/>
    <w:rPr>
      <w:color w:val="0563C1" w:themeColor="hyperlink"/>
      <w:u w:val="single"/>
    </w:rPr>
  </w:style>
  <w:style w:type="paragraph" w:styleId="ListParagraph">
    <w:name w:val="List Paragraph"/>
    <w:basedOn w:val="Normal"/>
    <w:uiPriority w:val="34"/>
    <w:qFormat/>
    <w:rsid w:val="00AA6155"/>
    <w:pPr>
      <w:spacing w:after="0" w:line="240" w:lineRule="auto"/>
      <w:ind w:left="720"/>
    </w:pPr>
    <w:rPr>
      <w:rFonts w:ascii="Calibri" w:hAnsi="Calibri" w:cs="Calibri"/>
    </w:rPr>
  </w:style>
  <w:style w:type="table" w:styleId="LightGrid-Accent1">
    <w:name w:val="Light Grid Accent 1"/>
    <w:basedOn w:val="TableNormal"/>
    <w:uiPriority w:val="62"/>
    <w:rsid w:val="000F7ED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Heading2Char">
    <w:name w:val="Heading 2 Char"/>
    <w:basedOn w:val="DefaultParagraphFont"/>
    <w:link w:val="Heading2"/>
    <w:uiPriority w:val="9"/>
    <w:rsid w:val="000F7ED5"/>
    <w:rPr>
      <w:rFonts w:asciiTheme="majorHAnsi" w:eastAsiaTheme="majorEastAsia" w:hAnsiTheme="majorHAnsi" w:cstheme="majorBidi"/>
      <w:b/>
      <w:bCs/>
      <w:color w:val="5B9BD5" w:themeColor="accent1"/>
      <w:sz w:val="26"/>
      <w:szCs w:val="26"/>
    </w:rPr>
  </w:style>
  <w:style w:type="paragraph" w:styleId="CommentText">
    <w:name w:val="annotation text"/>
    <w:basedOn w:val="Normal"/>
    <w:link w:val="CommentTextChar"/>
    <w:uiPriority w:val="99"/>
    <w:semiHidden/>
    <w:unhideWhenUsed/>
    <w:rsid w:val="00AB0B78"/>
    <w:pPr>
      <w:spacing w:line="240" w:lineRule="auto"/>
    </w:pPr>
    <w:rPr>
      <w:sz w:val="20"/>
      <w:szCs w:val="20"/>
    </w:rPr>
  </w:style>
  <w:style w:type="character" w:customStyle="1" w:styleId="CommentTextChar">
    <w:name w:val="Comment Text Char"/>
    <w:basedOn w:val="DefaultParagraphFont"/>
    <w:link w:val="CommentText"/>
    <w:uiPriority w:val="99"/>
    <w:semiHidden/>
    <w:rsid w:val="00AB0B78"/>
    <w:rPr>
      <w:sz w:val="20"/>
      <w:szCs w:val="20"/>
    </w:rPr>
  </w:style>
  <w:style w:type="character" w:styleId="CommentReference">
    <w:name w:val="annotation reference"/>
    <w:basedOn w:val="DefaultParagraphFont"/>
    <w:uiPriority w:val="99"/>
    <w:semiHidden/>
    <w:unhideWhenUsed/>
    <w:rsid w:val="0021477C"/>
    <w:rPr>
      <w:sz w:val="16"/>
      <w:szCs w:val="16"/>
    </w:rPr>
  </w:style>
  <w:style w:type="paragraph" w:styleId="CommentSubject">
    <w:name w:val="annotation subject"/>
    <w:basedOn w:val="CommentText"/>
    <w:next w:val="CommentText"/>
    <w:link w:val="CommentSubjectChar"/>
    <w:uiPriority w:val="99"/>
    <w:semiHidden/>
    <w:unhideWhenUsed/>
    <w:rsid w:val="0021477C"/>
    <w:rPr>
      <w:b/>
      <w:bCs/>
    </w:rPr>
  </w:style>
  <w:style w:type="character" w:customStyle="1" w:styleId="CommentSubjectChar">
    <w:name w:val="Comment Subject Char"/>
    <w:basedOn w:val="CommentTextChar"/>
    <w:link w:val="CommentSubject"/>
    <w:uiPriority w:val="99"/>
    <w:semiHidden/>
    <w:rsid w:val="0021477C"/>
    <w:rPr>
      <w:b/>
      <w:bCs/>
      <w:sz w:val="20"/>
      <w:szCs w:val="20"/>
    </w:rPr>
  </w:style>
  <w:style w:type="paragraph" w:styleId="BalloonText">
    <w:name w:val="Balloon Text"/>
    <w:basedOn w:val="Normal"/>
    <w:link w:val="BalloonTextChar"/>
    <w:uiPriority w:val="99"/>
    <w:semiHidden/>
    <w:unhideWhenUsed/>
    <w:rsid w:val="00214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77C"/>
    <w:rPr>
      <w:rFonts w:ascii="Segoe UI" w:hAnsi="Segoe UI" w:cs="Segoe UI"/>
      <w:sz w:val="18"/>
      <w:szCs w:val="18"/>
    </w:rPr>
  </w:style>
  <w:style w:type="paragraph" w:styleId="FootnoteText">
    <w:name w:val="footnote text"/>
    <w:basedOn w:val="Normal"/>
    <w:link w:val="FootnoteTextChar"/>
    <w:uiPriority w:val="99"/>
    <w:semiHidden/>
    <w:unhideWhenUsed/>
    <w:rsid w:val="004636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6B6"/>
    <w:rPr>
      <w:sz w:val="20"/>
      <w:szCs w:val="20"/>
    </w:rPr>
  </w:style>
  <w:style w:type="character" w:styleId="FootnoteReference">
    <w:name w:val="footnote reference"/>
    <w:basedOn w:val="DefaultParagraphFont"/>
    <w:uiPriority w:val="99"/>
    <w:semiHidden/>
    <w:unhideWhenUsed/>
    <w:rsid w:val="004636B6"/>
    <w:rPr>
      <w:vertAlign w:val="superscript"/>
    </w:rPr>
  </w:style>
  <w:style w:type="paragraph" w:styleId="NoSpacing">
    <w:name w:val="No Spacing"/>
    <w:uiPriority w:val="1"/>
    <w:qFormat/>
    <w:rsid w:val="009235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68279">
      <w:bodyDiv w:val="1"/>
      <w:marLeft w:val="0"/>
      <w:marRight w:val="0"/>
      <w:marTop w:val="0"/>
      <w:marBottom w:val="0"/>
      <w:divBdr>
        <w:top w:val="none" w:sz="0" w:space="0" w:color="auto"/>
        <w:left w:val="none" w:sz="0" w:space="0" w:color="auto"/>
        <w:bottom w:val="none" w:sz="0" w:space="0" w:color="auto"/>
        <w:right w:val="none" w:sz="0" w:space="0" w:color="auto"/>
      </w:divBdr>
    </w:div>
    <w:div w:id="74064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hic.ri.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daylor@cox.ne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zanne_Herzberg@brown.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crowningshield@healthcentricadvisor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pyles@healthcentricadvisors.org" TargetMode="External"/><Relationship Id="rId14" Type="http://schemas.openxmlformats.org/officeDocument/2006/relationships/hyperlink" Target="mailto:ckarner@ctc-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E030F-8FEB-4C7C-A483-920A332E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Rhode Island Quality Institute</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 Fishback</dc:creator>
  <cp:lastModifiedBy>Carolyn Karner</cp:lastModifiedBy>
  <cp:revision>3</cp:revision>
  <cp:lastPrinted>2016-08-17T12:30:00Z</cp:lastPrinted>
  <dcterms:created xsi:type="dcterms:W3CDTF">2019-04-03T18:01:00Z</dcterms:created>
  <dcterms:modified xsi:type="dcterms:W3CDTF">2019-04-04T20:52:00Z</dcterms:modified>
</cp:coreProperties>
</file>