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2A" w:rsidRPr="0095292A" w:rsidRDefault="0095292A" w:rsidP="0095292A">
      <w:pPr>
        <w:shd w:val="clear" w:color="auto" w:fill="FFFFFF"/>
        <w:spacing w:after="100" w:afterAutospacing="1" w:line="240" w:lineRule="auto"/>
        <w:outlineLvl w:val="0"/>
        <w:rPr>
          <w:rFonts w:ascii="var(--font-serif-vf)" w:eastAsia="Times New Roman" w:hAnsi="var(--font-serif-vf)" w:cs="Times New Roman"/>
          <w:b/>
          <w:bCs/>
          <w:kern w:val="36"/>
          <w:sz w:val="48"/>
          <w:szCs w:val="48"/>
        </w:rPr>
      </w:pPr>
      <w:r w:rsidRPr="0095292A">
        <w:rPr>
          <w:rFonts w:ascii="var(--font-serif-vf)" w:eastAsia="Times New Roman" w:hAnsi="var(--font-serif-vf)" w:cs="Times New Roman"/>
          <w:b/>
          <w:bCs/>
          <w:kern w:val="36"/>
          <w:sz w:val="48"/>
          <w:szCs w:val="48"/>
        </w:rPr>
        <w:t xml:space="preserve">Healthy Transitions </w:t>
      </w:r>
      <w:proofErr w:type="gramStart"/>
      <w:r w:rsidRPr="0095292A">
        <w:rPr>
          <w:rFonts w:ascii="var(--font-serif-vf)" w:eastAsia="Times New Roman" w:hAnsi="var(--font-serif-vf)" w:cs="Times New Roman"/>
          <w:b/>
          <w:bCs/>
          <w:kern w:val="36"/>
          <w:sz w:val="48"/>
          <w:szCs w:val="48"/>
        </w:rPr>
        <w:t>And</w:t>
      </w:r>
      <w:proofErr w:type="gramEnd"/>
      <w:r w:rsidRPr="0095292A">
        <w:rPr>
          <w:rFonts w:ascii="var(--font-serif-vf)" w:eastAsia="Times New Roman" w:hAnsi="var(--font-serif-vf)" w:cs="Times New Roman"/>
          <w:b/>
          <w:bCs/>
          <w:kern w:val="36"/>
          <w:sz w:val="48"/>
          <w:szCs w:val="48"/>
        </w:rPr>
        <w:t xml:space="preserve"> Behavioral Health Guide For Young Adults</w:t>
      </w:r>
    </w:p>
    <w:p w:rsidR="0095292A" w:rsidRPr="0095292A" w:rsidRDefault="0095292A" w:rsidP="0095292A">
      <w:pPr>
        <w:shd w:val="clear" w:color="auto" w:fill="FFFFFF"/>
        <w:spacing w:before="100" w:beforeAutospacing="1" w:after="100" w:afterAutospacing="1" w:line="240" w:lineRule="auto"/>
        <w:outlineLvl w:val="1"/>
        <w:rPr>
          <w:rFonts w:ascii="var(--font-serif-vf)" w:eastAsia="Times New Roman" w:hAnsi="var(--font-serif-vf)" w:cs="Times New Roman"/>
          <w:sz w:val="36"/>
          <w:szCs w:val="36"/>
        </w:rPr>
      </w:pPr>
      <w:r w:rsidRPr="0095292A">
        <w:rPr>
          <w:rFonts w:ascii="var(--font-serif-vf)" w:eastAsia="Times New Roman" w:hAnsi="var(--font-serif-vf)" w:cs="Times New Roman"/>
          <w:sz w:val="36"/>
          <w:szCs w:val="36"/>
        </w:rPr>
        <w:t>Now is the Time: Healthy Transitions</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Funded in part by the Department of Behavioral Healthcare, Developmental Disabilities, and Hospitals through a five-year grant from the Substance Abuse and Mental Health Services Administration, </w:t>
      </w:r>
      <w:r w:rsidRPr="0095292A">
        <w:rPr>
          <w:rFonts w:ascii="var(--font-sans-vf)" w:eastAsia="Times New Roman" w:hAnsi="var(--font-sans-vf)" w:cs="Times New Roman"/>
          <w:b/>
          <w:bCs/>
          <w:color w:val="404040"/>
          <w:sz w:val="24"/>
          <w:szCs w:val="24"/>
        </w:rPr>
        <w:t>RI Healthy Transitions</w:t>
      </w:r>
      <w:r w:rsidRPr="0095292A">
        <w:rPr>
          <w:rFonts w:ascii="var(--font-sans-vf)" w:eastAsia="Times New Roman" w:hAnsi="var(--font-sans-vf)" w:cs="Times New Roman"/>
          <w:color w:val="404040"/>
          <w:sz w:val="24"/>
          <w:szCs w:val="24"/>
        </w:rPr>
        <w:t xml:space="preserve"> is for youth and young adults, ages 16-25 who are experiencing problems with moods, thoughts, and behaviors. Youth and young adults living in the following areas may be screened for eligibility: Woonsocket, Lincoln, Cumberland, </w:t>
      </w:r>
      <w:proofErr w:type="spellStart"/>
      <w:r w:rsidRPr="0095292A">
        <w:rPr>
          <w:rFonts w:ascii="var(--font-sans-vf)" w:eastAsia="Times New Roman" w:hAnsi="var(--font-sans-vf)" w:cs="Times New Roman"/>
          <w:color w:val="404040"/>
          <w:sz w:val="24"/>
          <w:szCs w:val="24"/>
        </w:rPr>
        <w:t>Burriville</w:t>
      </w:r>
      <w:proofErr w:type="spellEnd"/>
      <w:r w:rsidRPr="0095292A">
        <w:rPr>
          <w:rFonts w:ascii="var(--font-sans-vf)" w:eastAsia="Times New Roman" w:hAnsi="var(--font-sans-vf)" w:cs="Times New Roman"/>
          <w:color w:val="404040"/>
          <w:sz w:val="24"/>
          <w:szCs w:val="24"/>
        </w:rPr>
        <w:t>, North Smithfield, Warwick, West Warwick, Coventry, East Greenwich, and West Greenwich.</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The RI Healthy Transitions program offers access to clinicians, a wraparound case manager, nurse, psychiatrist, substance abuse specialist, and employment education specialist who work as a team to assist participants with meeting personal goals for improving mental health and making successful transitions to adulthood. Youth and young adults will receive help with housing, employment, education, care and support for an average of two years, medication treatment (if mutually decided by participant and doctor) and interviews every six months to monitor progress.</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Participants will be connected to their service providers but will also connect to other participants in the program. The program is held in an open and transparent environment and participants will create their own personalized treatment plan with the help of the team.</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For more information about the Healthy Transitions program, please contact:</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b/>
          <w:bCs/>
          <w:color w:val="404040"/>
          <w:sz w:val="24"/>
          <w:szCs w:val="24"/>
        </w:rPr>
        <w:t>The Providence Center</w:t>
      </w:r>
      <w:r w:rsidRPr="0095292A">
        <w:rPr>
          <w:rFonts w:ascii="var(--font-sans-vf)" w:eastAsia="Times New Roman" w:hAnsi="var(--font-sans-vf)" w:cs="Times New Roman"/>
          <w:color w:val="404040"/>
          <w:sz w:val="24"/>
          <w:szCs w:val="24"/>
        </w:rPr>
        <w:br/>
        <w:t>520 Hope Street</w:t>
      </w:r>
      <w:r w:rsidRPr="0095292A">
        <w:rPr>
          <w:rFonts w:ascii="var(--font-sans-vf)" w:eastAsia="Times New Roman" w:hAnsi="var(--font-sans-vf)" w:cs="Times New Roman"/>
          <w:color w:val="404040"/>
          <w:sz w:val="24"/>
          <w:szCs w:val="24"/>
        </w:rPr>
        <w:br/>
        <w:t>Providence, RI 02906</w:t>
      </w:r>
      <w:r w:rsidRPr="0095292A">
        <w:rPr>
          <w:rFonts w:ascii="var(--font-sans-vf)" w:eastAsia="Times New Roman" w:hAnsi="var(--font-sans-vf)" w:cs="Times New Roman"/>
          <w:color w:val="404040"/>
          <w:sz w:val="24"/>
          <w:szCs w:val="24"/>
        </w:rPr>
        <w:br/>
        <w:t>Intake: 401-276-4020</w:t>
      </w:r>
      <w:r w:rsidRPr="0095292A">
        <w:rPr>
          <w:rFonts w:ascii="var(--font-sans-vf)" w:eastAsia="Times New Roman" w:hAnsi="var(--font-sans-vf)" w:cs="Times New Roman"/>
          <w:color w:val="404040"/>
          <w:sz w:val="24"/>
          <w:szCs w:val="24"/>
        </w:rPr>
        <w:br/>
      </w:r>
      <w:hyperlink r:id="rId4" w:tgtFrame="_blank" w:history="1">
        <w:r w:rsidRPr="0095292A">
          <w:rPr>
            <w:rFonts w:ascii="var(--font-sans-vf)" w:eastAsia="Times New Roman" w:hAnsi="var(--font-sans-vf)" w:cs="Times New Roman"/>
            <w:color w:val="0000FF"/>
            <w:sz w:val="24"/>
            <w:szCs w:val="24"/>
            <w:u w:val="single"/>
          </w:rPr>
          <w:t>Healthy Transitions | The Providence Center [providencecenter.org]</w:t>
        </w:r>
      </w:hyperlink>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b/>
          <w:bCs/>
          <w:color w:val="404040"/>
          <w:sz w:val="24"/>
          <w:szCs w:val="24"/>
        </w:rPr>
        <w:t>Newport Mental Health</w:t>
      </w:r>
      <w:r w:rsidRPr="0095292A">
        <w:rPr>
          <w:rFonts w:ascii="var(--font-sans-vf)" w:eastAsia="Times New Roman" w:hAnsi="var(--font-sans-vf)" w:cs="Times New Roman"/>
          <w:color w:val="404040"/>
          <w:sz w:val="24"/>
          <w:szCs w:val="24"/>
        </w:rPr>
        <w:br/>
        <w:t>42 Valley Road</w:t>
      </w:r>
      <w:r w:rsidRPr="0095292A">
        <w:rPr>
          <w:rFonts w:ascii="var(--font-sans-vf)" w:eastAsia="Times New Roman" w:hAnsi="var(--font-sans-vf)" w:cs="Times New Roman"/>
          <w:color w:val="404040"/>
          <w:sz w:val="24"/>
          <w:szCs w:val="24"/>
        </w:rPr>
        <w:br/>
        <w:t>Middletown, RI 02894</w:t>
      </w:r>
      <w:r w:rsidRPr="0095292A">
        <w:rPr>
          <w:rFonts w:ascii="var(--font-sans-vf)" w:eastAsia="Times New Roman" w:hAnsi="var(--font-sans-vf)" w:cs="Times New Roman"/>
          <w:color w:val="404040"/>
          <w:sz w:val="24"/>
          <w:szCs w:val="24"/>
        </w:rPr>
        <w:br/>
        <w:t>Intake: 401-846-1213</w:t>
      </w:r>
      <w:r w:rsidRPr="0095292A">
        <w:rPr>
          <w:rFonts w:ascii="var(--font-sans-vf)" w:eastAsia="Times New Roman" w:hAnsi="var(--font-sans-vf)" w:cs="Times New Roman"/>
          <w:color w:val="404040"/>
          <w:sz w:val="24"/>
          <w:szCs w:val="24"/>
        </w:rPr>
        <w:br/>
      </w:r>
      <w:hyperlink r:id="rId5" w:tgtFrame="_blank" w:history="1">
        <w:r w:rsidRPr="0095292A">
          <w:rPr>
            <w:rFonts w:ascii="var(--font-sans-vf)" w:eastAsia="Times New Roman" w:hAnsi="var(--font-sans-vf)" w:cs="Times New Roman"/>
            <w:color w:val="0000FF"/>
            <w:sz w:val="24"/>
            <w:szCs w:val="24"/>
            <w:u w:val="single"/>
          </w:rPr>
          <w:t>Counseling &amp; Psychiatric Services – Newport Mental Health</w:t>
        </w:r>
      </w:hyperlink>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b/>
          <w:bCs/>
          <w:color w:val="404040"/>
          <w:sz w:val="24"/>
          <w:szCs w:val="24"/>
        </w:rPr>
        <w:t>Thrive Behavioral Health</w:t>
      </w:r>
      <w:r w:rsidRPr="0095292A">
        <w:rPr>
          <w:rFonts w:ascii="var(--font-sans-vf)" w:eastAsia="Times New Roman" w:hAnsi="var(--font-sans-vf)" w:cs="Times New Roman"/>
          <w:color w:val="404040"/>
          <w:sz w:val="24"/>
          <w:szCs w:val="24"/>
        </w:rPr>
        <w:br/>
        <w:t>2756 Post Road</w:t>
      </w:r>
      <w:r w:rsidRPr="0095292A">
        <w:rPr>
          <w:rFonts w:ascii="var(--font-sans-vf)" w:eastAsia="Times New Roman" w:hAnsi="var(--font-sans-vf)" w:cs="Times New Roman"/>
          <w:color w:val="404040"/>
          <w:sz w:val="24"/>
          <w:szCs w:val="24"/>
        </w:rPr>
        <w:br/>
        <w:t>Warwick, RI 02886</w:t>
      </w:r>
      <w:r w:rsidRPr="0095292A">
        <w:rPr>
          <w:rFonts w:ascii="var(--font-sans-vf)" w:eastAsia="Times New Roman" w:hAnsi="var(--font-sans-vf)" w:cs="Times New Roman"/>
          <w:color w:val="404040"/>
          <w:sz w:val="24"/>
          <w:szCs w:val="24"/>
        </w:rPr>
        <w:br/>
        <w:t>Intake: 401-691-6000</w:t>
      </w:r>
      <w:r w:rsidRPr="0095292A">
        <w:rPr>
          <w:rFonts w:ascii="var(--font-sans-vf)" w:eastAsia="Times New Roman" w:hAnsi="var(--font-sans-vf)" w:cs="Times New Roman"/>
          <w:color w:val="404040"/>
          <w:sz w:val="24"/>
          <w:szCs w:val="24"/>
        </w:rPr>
        <w:br/>
      </w:r>
      <w:hyperlink r:id="rId6" w:tgtFrame="_blank" w:history="1">
        <w:r w:rsidRPr="0095292A">
          <w:rPr>
            <w:rFonts w:ascii="var(--font-sans-vf)" w:eastAsia="Times New Roman" w:hAnsi="var(--font-sans-vf)" w:cs="Times New Roman"/>
            <w:color w:val="0000FF"/>
            <w:sz w:val="24"/>
            <w:szCs w:val="24"/>
            <w:u w:val="single"/>
          </w:rPr>
          <w:t>Thrive Behavioral Health, Inc. - Thrive Behavioral Health, Inc. (thrivebhri.org) [thrivebhri.org]</w:t>
        </w:r>
      </w:hyperlink>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b/>
          <w:bCs/>
          <w:color w:val="404040"/>
          <w:sz w:val="24"/>
          <w:szCs w:val="24"/>
        </w:rPr>
        <w:lastRenderedPageBreak/>
        <w:t>Community Care Alliance</w:t>
      </w:r>
      <w:r w:rsidRPr="0095292A">
        <w:rPr>
          <w:rFonts w:ascii="var(--font-sans-vf)" w:eastAsia="Times New Roman" w:hAnsi="var(--font-sans-vf)" w:cs="Times New Roman"/>
          <w:color w:val="404040"/>
          <w:sz w:val="24"/>
          <w:szCs w:val="24"/>
        </w:rPr>
        <w:br/>
        <w:t>181 Cumberland Street</w:t>
      </w:r>
      <w:r w:rsidRPr="0095292A">
        <w:rPr>
          <w:rFonts w:ascii="var(--font-sans-vf)" w:eastAsia="Times New Roman" w:hAnsi="var(--font-sans-vf)" w:cs="Times New Roman"/>
          <w:color w:val="404040"/>
          <w:sz w:val="24"/>
          <w:szCs w:val="24"/>
        </w:rPr>
        <w:br/>
        <w:t>Woonsocket, RI 02895</w:t>
      </w:r>
      <w:r w:rsidRPr="0095292A">
        <w:rPr>
          <w:rFonts w:ascii="var(--font-sans-vf)" w:eastAsia="Times New Roman" w:hAnsi="var(--font-sans-vf)" w:cs="Times New Roman"/>
          <w:color w:val="404040"/>
          <w:sz w:val="24"/>
          <w:szCs w:val="24"/>
        </w:rPr>
        <w:br/>
        <w:t>Intake: 401-235-7181</w:t>
      </w:r>
      <w:r w:rsidRPr="0095292A">
        <w:rPr>
          <w:rFonts w:ascii="var(--font-sans-vf)" w:eastAsia="Times New Roman" w:hAnsi="var(--font-sans-vf)" w:cs="Times New Roman"/>
          <w:color w:val="404040"/>
          <w:sz w:val="24"/>
          <w:szCs w:val="24"/>
        </w:rPr>
        <w:br/>
      </w:r>
      <w:hyperlink r:id="rId7" w:tgtFrame="_blank" w:history="1">
        <w:r w:rsidRPr="0095292A">
          <w:rPr>
            <w:rFonts w:ascii="var(--font-sans-vf)" w:eastAsia="Times New Roman" w:hAnsi="var(--font-sans-vf)" w:cs="Times New Roman"/>
            <w:color w:val="0000FF"/>
            <w:sz w:val="24"/>
            <w:szCs w:val="24"/>
            <w:u w:val="single"/>
          </w:rPr>
          <w:t>Healthy Transitions &gt; Community Care Alliance (communitycareri.org) [communitycareri.org]</w:t>
        </w:r>
      </w:hyperlink>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b/>
          <w:bCs/>
          <w:color w:val="404040"/>
          <w:sz w:val="24"/>
          <w:szCs w:val="24"/>
        </w:rPr>
        <w:t>Department of Behavioral Healthcare, Developmental Disabilities &amp; Hospitals</w:t>
      </w:r>
      <w:r w:rsidRPr="0095292A">
        <w:rPr>
          <w:rFonts w:ascii="var(--font-sans-vf)" w:eastAsia="Times New Roman" w:hAnsi="var(--font-sans-vf)" w:cs="Times New Roman"/>
          <w:color w:val="404040"/>
          <w:sz w:val="24"/>
          <w:szCs w:val="24"/>
        </w:rPr>
        <w:br/>
      </w:r>
      <w:hyperlink r:id="rId8" w:history="1">
        <w:r w:rsidRPr="0095292A">
          <w:rPr>
            <w:rFonts w:ascii="var(--font-sans-vf)" w:eastAsia="Times New Roman" w:hAnsi="var(--font-sans-vf)" w:cs="Times New Roman"/>
            <w:color w:val="0000FF"/>
            <w:sz w:val="24"/>
            <w:szCs w:val="24"/>
            <w:u w:val="single"/>
          </w:rPr>
          <w:t>401-462-0421</w:t>
        </w:r>
      </w:hyperlink>
      <w:r w:rsidRPr="0095292A">
        <w:rPr>
          <w:rFonts w:ascii="var(--font-sans-vf)" w:eastAsia="Times New Roman" w:hAnsi="var(--font-sans-vf)" w:cs="Times New Roman"/>
          <w:color w:val="404040"/>
          <w:sz w:val="24"/>
          <w:szCs w:val="24"/>
        </w:rPr>
        <w:t>.</w:t>
      </w:r>
    </w:p>
    <w:p w:rsidR="0095292A" w:rsidRPr="0095292A" w:rsidRDefault="0095292A" w:rsidP="0095292A">
      <w:pPr>
        <w:shd w:val="clear" w:color="auto" w:fill="FFFFFF"/>
        <w:spacing w:before="100" w:beforeAutospacing="1" w:after="100" w:afterAutospacing="1" w:line="240" w:lineRule="auto"/>
        <w:outlineLvl w:val="1"/>
        <w:rPr>
          <w:rFonts w:ascii="var(--font-serif-vf)" w:eastAsia="Times New Roman" w:hAnsi="var(--font-serif-vf)" w:cs="Times New Roman"/>
          <w:sz w:val="36"/>
          <w:szCs w:val="36"/>
        </w:rPr>
      </w:pPr>
      <w:r w:rsidRPr="0095292A">
        <w:rPr>
          <w:rFonts w:ascii="var(--font-serif-vf)" w:eastAsia="Times New Roman" w:hAnsi="var(--font-serif-vf)" w:cs="Times New Roman"/>
          <w:sz w:val="36"/>
          <w:szCs w:val="36"/>
        </w:rPr>
        <w:t>A Young Adult's Guide to RI's Behavioral Health System</w:t>
      </w:r>
    </w:p>
    <w:p w:rsidR="0095292A" w:rsidRPr="0095292A" w:rsidRDefault="0095292A" w:rsidP="0095292A">
      <w:pPr>
        <w:spacing w:after="0" w:line="240" w:lineRule="auto"/>
        <w:rPr>
          <w:rFonts w:ascii="Times New Roman" w:eastAsia="Times New Roman" w:hAnsi="Times New Roman" w:cs="Times New Roman"/>
          <w:sz w:val="24"/>
          <w:szCs w:val="24"/>
        </w:rPr>
      </w:pPr>
      <w:r w:rsidRPr="0095292A">
        <w:rPr>
          <w:rFonts w:ascii="Times New Roman" w:eastAsia="Times New Roman" w:hAnsi="Times New Roman" w:cs="Times New Roman"/>
          <w:noProof/>
          <w:sz w:val="24"/>
          <w:szCs w:val="24"/>
        </w:rPr>
        <w:drawing>
          <wp:inline distT="0" distB="0" distL="0" distR="0" wp14:anchorId="7AF24F04" wp14:editId="587C959D">
            <wp:extent cx="1905000" cy="1574800"/>
            <wp:effectExtent l="0" t="0" r="0" b="6350"/>
            <wp:docPr id="1" name="Picture 1" descr="Take Charge of your behavioral health Guide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Charge of your behavioral health Guide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74800"/>
                    </a:xfrm>
                    <a:prstGeom prst="rect">
                      <a:avLst/>
                    </a:prstGeom>
                    <a:noFill/>
                    <a:ln>
                      <a:noFill/>
                    </a:ln>
                  </pic:spPr>
                </pic:pic>
              </a:graphicData>
            </a:graphic>
          </wp:inline>
        </w:drawing>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 xml:space="preserve">This Guidebook provides a roadmap to help 14 – </w:t>
      </w:r>
      <w:proofErr w:type="gramStart"/>
      <w:r w:rsidRPr="0095292A">
        <w:rPr>
          <w:rFonts w:ascii="var(--font-sans-vf)" w:eastAsia="Times New Roman" w:hAnsi="var(--font-sans-vf)" w:cs="Times New Roman"/>
          <w:color w:val="404040"/>
          <w:sz w:val="24"/>
          <w:szCs w:val="24"/>
        </w:rPr>
        <w:t>25 year</w:t>
      </w:r>
      <w:proofErr w:type="gramEnd"/>
      <w:r w:rsidRPr="0095292A">
        <w:rPr>
          <w:rFonts w:ascii="var(--font-sans-vf)" w:eastAsia="Times New Roman" w:hAnsi="var(--font-sans-vf)" w:cs="Times New Roman"/>
          <w:color w:val="404040"/>
          <w:sz w:val="24"/>
          <w:szCs w:val="24"/>
        </w:rPr>
        <w:t xml:space="preserve"> old's in navigating the sometimes complex system of behavioral healthcare services. There are many resources listed to guide you, should you need them. "Take Charge of Your Behavioral Health: A Guide for Transition Aged Youth (TAY) in Rhode Island," recently revised August 2021, was created for youth and young adults with a great deal of community input.</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Each page was designed to stand alone so you can download and print the entire document or just select those pages of interest to you.</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Hard copies of the </w:t>
      </w:r>
      <w:r w:rsidRPr="0095292A">
        <w:rPr>
          <w:rFonts w:ascii="var(--font-sans-vf)" w:eastAsia="Times New Roman" w:hAnsi="var(--font-sans-vf)" w:cs="Times New Roman"/>
          <w:b/>
          <w:bCs/>
          <w:i/>
          <w:iCs/>
          <w:color w:val="404040"/>
          <w:sz w:val="24"/>
          <w:szCs w:val="24"/>
        </w:rPr>
        <w:t>previous version</w:t>
      </w:r>
      <w:r w:rsidRPr="0095292A">
        <w:rPr>
          <w:rFonts w:ascii="var(--font-sans-vf)" w:eastAsia="Times New Roman" w:hAnsi="var(--font-sans-vf)" w:cs="Times New Roman"/>
          <w:color w:val="404040"/>
          <w:sz w:val="24"/>
          <w:szCs w:val="24"/>
        </w:rPr>
        <w:t> of the Guidebook are currently available and free of charge. For more information, contact Denise Achin at 401-462-0421 or by email at </w:t>
      </w:r>
      <w:hyperlink r:id="rId10" w:history="1">
        <w:r w:rsidRPr="0095292A">
          <w:rPr>
            <w:rFonts w:ascii="var(--font-sans-vf)" w:eastAsia="Times New Roman" w:hAnsi="var(--font-sans-vf)" w:cs="Times New Roman"/>
            <w:color w:val="0000FF"/>
            <w:sz w:val="24"/>
            <w:szCs w:val="24"/>
            <w:u w:val="single"/>
          </w:rPr>
          <w:t>Denise.Achin@bhddh.ri.gov</w:t>
        </w:r>
      </w:hyperlink>
      <w:r w:rsidRPr="0095292A">
        <w:rPr>
          <w:rFonts w:ascii="var(--font-sans-vf)" w:eastAsia="Times New Roman" w:hAnsi="var(--font-sans-vf)" w:cs="Times New Roman"/>
          <w:color w:val="404040"/>
          <w:sz w:val="24"/>
          <w:szCs w:val="24"/>
        </w:rPr>
        <w:t>.</w:t>
      </w:r>
    </w:p>
    <w:p w:rsidR="0095292A" w:rsidRPr="0095292A" w:rsidRDefault="0095292A" w:rsidP="0095292A">
      <w:pPr>
        <w:shd w:val="clear" w:color="auto" w:fill="FFFFFF"/>
        <w:spacing w:before="100" w:beforeAutospacing="1" w:after="0" w:line="240" w:lineRule="auto"/>
        <w:rPr>
          <w:rFonts w:ascii="var(--font-sans-vf)" w:eastAsia="Times New Roman" w:hAnsi="var(--font-sans-vf)" w:cs="Times New Roman"/>
          <w:color w:val="404040"/>
          <w:sz w:val="24"/>
          <w:szCs w:val="24"/>
        </w:rPr>
      </w:pPr>
      <w:r w:rsidRPr="0095292A">
        <w:rPr>
          <w:rFonts w:ascii="var(--font-sans-vf)" w:eastAsia="Times New Roman" w:hAnsi="var(--font-sans-vf)" w:cs="Times New Roman"/>
          <w:color w:val="404040"/>
          <w:sz w:val="24"/>
          <w:szCs w:val="24"/>
        </w:rPr>
        <w:t> </w:t>
      </w:r>
    </w:p>
    <w:p w:rsidR="0095292A" w:rsidRPr="0095292A" w:rsidRDefault="0095292A" w:rsidP="0095292A">
      <w:pPr>
        <w:shd w:val="clear" w:color="auto" w:fill="FFFFFF"/>
        <w:spacing w:before="100" w:beforeAutospacing="1" w:after="100" w:afterAutospacing="1" w:line="240" w:lineRule="auto"/>
        <w:outlineLvl w:val="2"/>
        <w:rPr>
          <w:rFonts w:ascii="var(--font-serif-vf)" w:eastAsia="Times New Roman" w:hAnsi="var(--font-serif-vf)" w:cs="Times New Roman"/>
          <w:b/>
          <w:bCs/>
          <w:sz w:val="27"/>
          <w:szCs w:val="27"/>
        </w:rPr>
      </w:pPr>
      <w:hyperlink r:id="rId11" w:history="1">
        <w:r w:rsidRPr="0095292A">
          <w:rPr>
            <w:rFonts w:ascii="var(--font-serif-vf)" w:eastAsia="Times New Roman" w:hAnsi="var(--font-serif-vf)" w:cs="Times New Roman"/>
            <w:b/>
            <w:bCs/>
            <w:i/>
            <w:iCs/>
            <w:color w:val="0000FF"/>
            <w:sz w:val="27"/>
            <w:szCs w:val="27"/>
            <w:u w:val="single"/>
          </w:rPr>
          <w:t>Guidebook in English- 2021</w:t>
        </w:r>
      </w:hyperlink>
    </w:p>
    <w:p w:rsidR="0095292A" w:rsidRPr="0095292A" w:rsidRDefault="0095292A" w:rsidP="0095292A">
      <w:pPr>
        <w:shd w:val="clear" w:color="auto" w:fill="FFFFFF"/>
        <w:spacing w:before="100" w:beforeAutospacing="1" w:after="100" w:afterAutospacing="1" w:line="240" w:lineRule="auto"/>
        <w:outlineLvl w:val="2"/>
        <w:rPr>
          <w:rFonts w:ascii="var(--font-serif-vf)" w:eastAsia="Times New Roman" w:hAnsi="var(--font-serif-vf)" w:cs="Times New Roman"/>
          <w:b/>
          <w:bCs/>
          <w:sz w:val="27"/>
          <w:szCs w:val="27"/>
        </w:rPr>
      </w:pPr>
      <w:hyperlink r:id="rId12" w:history="1">
        <w:r w:rsidRPr="0095292A">
          <w:rPr>
            <w:rFonts w:ascii="var(--font-serif-vf)" w:eastAsia="Times New Roman" w:hAnsi="var(--font-serif-vf)" w:cs="Times New Roman"/>
            <w:b/>
            <w:bCs/>
            <w:i/>
            <w:iCs/>
            <w:color w:val="0000FF"/>
            <w:sz w:val="27"/>
            <w:szCs w:val="27"/>
            <w:u w:val="single"/>
          </w:rPr>
          <w:t xml:space="preserve">Guidebook </w:t>
        </w:r>
        <w:proofErr w:type="spellStart"/>
        <w:r w:rsidRPr="0095292A">
          <w:rPr>
            <w:rFonts w:ascii="var(--font-serif-vf)" w:eastAsia="Times New Roman" w:hAnsi="var(--font-serif-vf)" w:cs="Times New Roman"/>
            <w:b/>
            <w:bCs/>
            <w:i/>
            <w:iCs/>
            <w:color w:val="0000FF"/>
            <w:sz w:val="27"/>
            <w:szCs w:val="27"/>
            <w:u w:val="single"/>
          </w:rPr>
          <w:t>en</w:t>
        </w:r>
        <w:proofErr w:type="spellEnd"/>
        <w:r w:rsidRPr="0095292A">
          <w:rPr>
            <w:rFonts w:ascii="var(--font-serif-vf)" w:eastAsia="Times New Roman" w:hAnsi="var(--font-serif-vf)" w:cs="Times New Roman"/>
            <w:b/>
            <w:bCs/>
            <w:i/>
            <w:iCs/>
            <w:color w:val="0000FF"/>
            <w:sz w:val="27"/>
            <w:szCs w:val="27"/>
            <w:u w:val="single"/>
          </w:rPr>
          <w:t xml:space="preserve"> </w:t>
        </w:r>
        <w:proofErr w:type="spellStart"/>
        <w:r w:rsidRPr="0095292A">
          <w:rPr>
            <w:rFonts w:ascii="var(--font-serif-vf)" w:eastAsia="Times New Roman" w:hAnsi="var(--font-serif-vf)" w:cs="Times New Roman"/>
            <w:b/>
            <w:bCs/>
            <w:i/>
            <w:iCs/>
            <w:color w:val="0000FF"/>
            <w:sz w:val="27"/>
            <w:szCs w:val="27"/>
            <w:u w:val="single"/>
          </w:rPr>
          <w:t>Españo</w:t>
        </w:r>
      </w:hyperlink>
      <w:hyperlink r:id="rId13" w:history="1">
        <w:r w:rsidRPr="0095292A">
          <w:rPr>
            <w:rFonts w:ascii="var(--font-serif-vf)" w:eastAsia="Times New Roman" w:hAnsi="var(--font-serif-vf)" w:cs="Times New Roman"/>
            <w:b/>
            <w:bCs/>
            <w:i/>
            <w:iCs/>
            <w:color w:val="0000FF"/>
            <w:sz w:val="27"/>
            <w:szCs w:val="27"/>
            <w:u w:val="single"/>
          </w:rPr>
          <w:t>l</w:t>
        </w:r>
        <w:proofErr w:type="spellEnd"/>
        <w:r w:rsidRPr="0095292A">
          <w:rPr>
            <w:rFonts w:ascii="var(--font-serif-vf)" w:eastAsia="Times New Roman" w:hAnsi="var(--font-serif-vf)" w:cs="Times New Roman"/>
            <w:b/>
            <w:bCs/>
            <w:i/>
            <w:iCs/>
            <w:color w:val="0000FF"/>
            <w:sz w:val="27"/>
            <w:szCs w:val="27"/>
            <w:u w:val="single"/>
          </w:rPr>
          <w:t>- 2021</w:t>
        </w:r>
      </w:hyperlink>
    </w:p>
    <w:p w:rsidR="00EC3F4A" w:rsidRDefault="00EC3F4A">
      <w:bookmarkStart w:id="0" w:name="_GoBack"/>
      <w:bookmarkEnd w:id="0"/>
    </w:p>
    <w:sectPr w:rsidR="00EC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ont-serif-vf)">
    <w:altName w:val="Times New Roman"/>
    <w:panose1 w:val="00000000000000000000"/>
    <w:charset w:val="00"/>
    <w:family w:val="roman"/>
    <w:notTrueType/>
    <w:pitch w:val="default"/>
  </w:font>
  <w:font w:name="var(--font-sans-v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A"/>
    <w:rsid w:val="0095292A"/>
    <w:rsid w:val="00EC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672FF-F9BC-42B9-82AD-D437BDFB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14620421" TargetMode="External"/><Relationship Id="rId13" Type="http://schemas.openxmlformats.org/officeDocument/2006/relationships/hyperlink" Target="https://bhddh.ri.gov/sites/g/files/xkgbur411/files/2021-09/august-2021-transition-guidebook_final_spanish_.pdf" TargetMode="External"/><Relationship Id="rId3" Type="http://schemas.openxmlformats.org/officeDocument/2006/relationships/webSettings" Target="webSettings.xml"/><Relationship Id="rId7" Type="http://schemas.openxmlformats.org/officeDocument/2006/relationships/hyperlink" Target="https://urldefense.com/v3/__https:/www.communitycareri.org/ProgramsServices/ChildFamily/HealthyTransitions.aspx__;!!KKphUJtCzQ!abhhPaMHxTPGoYOCu5CG4oSNlIAap4bd496ZPvhU5tECKSg6yE4oMueuv420r4CgebjvwQ$" TargetMode="External"/><Relationship Id="rId12" Type="http://schemas.openxmlformats.org/officeDocument/2006/relationships/hyperlink" Target="https://bhddh.ri.gov/sites/g/files/xkgbur411/files/2021-09/august-2021-transition-guidebook_final_spanish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thrivebhri.org/programs-services/healthy-transitions__;!!KKphUJtCzQ!abhhPaMHxTPGoYOCu5CG4oSNlIAap4bd496ZPvhU5tECKSg6yE4oMueuv420r4A4cOEJDA$" TargetMode="External"/><Relationship Id="rId11" Type="http://schemas.openxmlformats.org/officeDocument/2006/relationships/hyperlink" Target="https://bhddh.ri.gov/sites/g/files/xkgbur411/files/2021-09/august-2021-transition-guidebook_final-9.3.21_0.pdf" TargetMode="External"/><Relationship Id="rId5" Type="http://schemas.openxmlformats.org/officeDocument/2006/relationships/hyperlink" Target="https://www.newportmentalhealth.org/" TargetMode="External"/><Relationship Id="rId15" Type="http://schemas.openxmlformats.org/officeDocument/2006/relationships/theme" Target="theme/theme1.xml"/><Relationship Id="rId10" Type="http://schemas.openxmlformats.org/officeDocument/2006/relationships/hyperlink" Target="mailto:denise.achin@bhddh.ri.gov" TargetMode="External"/><Relationship Id="rId4" Type="http://schemas.openxmlformats.org/officeDocument/2006/relationships/hyperlink" Target="https://urldefense.com/v3/__https:/www.providencecenter.org/healthy-transitions?__hstc=114669208.713d7325441af28b7fdbd4dfbbdc5a31.1620225881290.1620225881290.1621363953740.2&amp;__hssc=114669208.2.1621363953740&amp;__hsfp=1266509579__;!!KKphUJtCzQ!abhhPaMHxTPGoYOCu5CG4oSNlIAap4bd496ZPvhU5tECKSg6yE4oMueuv420r4CG5l21mA$"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cp:lastPrinted>2021-10-21T12:00:00Z</cp:lastPrinted>
  <dcterms:created xsi:type="dcterms:W3CDTF">2021-10-21T11:59:00Z</dcterms:created>
  <dcterms:modified xsi:type="dcterms:W3CDTF">2021-10-21T12:01:00Z</dcterms:modified>
</cp:coreProperties>
</file>