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B1" w:rsidRDefault="008309C5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Adult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 w:rsidR="000D09E5">
        <w:rPr>
          <w:rFonts w:ascii="Cambria"/>
          <w:color w:val="17365D"/>
          <w:spacing w:val="3"/>
          <w:sz w:val="52"/>
        </w:rPr>
        <w:t xml:space="preserve"> and Utilization </w:t>
      </w:r>
      <w:r w:rsidR="000D09E5">
        <w:rPr>
          <w:rFonts w:ascii="Cambria"/>
          <w:color w:val="17365D"/>
          <w:spacing w:val="10"/>
          <w:sz w:val="52"/>
        </w:rPr>
        <w:t xml:space="preserve">Recommended </w:t>
      </w:r>
      <w:r>
        <w:rPr>
          <w:rFonts w:ascii="Cambria"/>
          <w:color w:val="17365D"/>
          <w:spacing w:val="2"/>
          <w:sz w:val="52"/>
        </w:rPr>
        <w:t>Contractual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Performance</w:t>
      </w:r>
      <w:r>
        <w:rPr>
          <w:rFonts w:ascii="Cambria"/>
          <w:color w:val="17365D"/>
          <w:spacing w:val="46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Standards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6F13D5">
        <w:rPr>
          <w:rFonts w:ascii="Cambria"/>
          <w:color w:val="17365D"/>
          <w:spacing w:val="3"/>
          <w:sz w:val="52"/>
        </w:rPr>
        <w:t>2019-2020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BEA00B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p w:rsidR="00D612B1" w:rsidRDefault="008309C5">
      <w:pPr>
        <w:spacing w:before="234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Contents</w:t>
      </w:r>
    </w:p>
    <w:sdt>
      <w:sdtPr>
        <w:id w:val="385990273"/>
        <w:docPartObj>
          <w:docPartGallery w:val="Table of Contents"/>
          <w:docPartUnique/>
        </w:docPartObj>
      </w:sdtPr>
      <w:sdtEndPr/>
      <w:sdtContent>
        <w:p w:rsidR="00D612B1" w:rsidRDefault="006B553A">
          <w:pPr>
            <w:pStyle w:val="TOC1"/>
            <w:tabs>
              <w:tab w:val="right" w:leader="dot" w:pos="9491"/>
            </w:tabs>
            <w:spacing w:before="47"/>
          </w:pPr>
          <w:hyperlink w:anchor="_bookmark0" w:history="1">
            <w:r w:rsidR="006F13D5">
              <w:rPr>
                <w:spacing w:val="-1"/>
              </w:rPr>
              <w:t>2019-2020</w:t>
            </w:r>
            <w:r w:rsidR="008309C5">
              <w:rPr>
                <w:spacing w:val="-1"/>
              </w:rPr>
              <w:t xml:space="preserve"> Adult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Clinical</w:t>
            </w:r>
            <w:r w:rsidR="008309C5">
              <w:t xml:space="preserve"> </w:t>
            </w:r>
            <w:r w:rsidR="008309C5">
              <w:rPr>
                <w:spacing w:val="-1"/>
              </w:rPr>
              <w:t>Quality Measure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Recommendations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  <w:ind w:left="360"/>
          </w:pPr>
          <w:hyperlink w:anchor="_bookmark1" w:history="1">
            <w:r w:rsidR="0061701A">
              <w:rPr>
                <w:spacing w:val="-1"/>
              </w:rPr>
              <w:t>Measures and</w:t>
            </w:r>
            <w:r w:rsidR="008309C5">
              <w:t xml:space="preserve"> </w:t>
            </w:r>
            <w:r w:rsidR="008309C5">
              <w:rPr>
                <w:spacing w:val="-1"/>
              </w:rPr>
              <w:t>Thresholds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  <w:spacing w:before="142"/>
          </w:pPr>
          <w:hyperlink w:anchor="_bookmark2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adjudication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</w:pPr>
          <w:hyperlink w:anchor="_bookmark3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6B553A">
          <w:pPr>
            <w:pStyle w:val="TOC1"/>
            <w:tabs>
              <w:tab w:val="right" w:leader="dot" w:pos="9492"/>
            </w:tabs>
          </w:pPr>
          <w:hyperlink w:anchor="_bookmark4" w:history="1">
            <w:r w:rsidR="006F13D5">
              <w:rPr>
                <w:spacing w:val="-1"/>
              </w:rPr>
              <w:t>2019-2020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PCMH Survey Recommendations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  <w:spacing w:before="142"/>
          </w:pPr>
          <w:hyperlink w:anchor="_bookmark5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surveys</w:t>
            </w:r>
            <w:r w:rsidR="008309C5">
              <w:t xml:space="preserve"> </w:t>
            </w:r>
            <w:r w:rsidR="008309C5">
              <w:rPr>
                <w:spacing w:val="-1"/>
              </w:rPr>
              <w:t>and adjudication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</w:pPr>
          <w:hyperlink w:anchor="_bookmark6" w:history="1">
            <w:r w:rsidR="008309C5">
              <w:rPr>
                <w:spacing w:val="-1"/>
              </w:rPr>
              <w:t>Details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data</w:t>
            </w:r>
            <w:r w:rsidR="008309C5">
              <w:t xml:space="preserve"> </w:t>
            </w:r>
            <w:r w:rsidR="008309C5">
              <w:rPr>
                <w:spacing w:val="-1"/>
              </w:rPr>
              <w:t>review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</w:pPr>
          <w:hyperlink w:anchor="_bookmark7" w:history="1">
            <w:r w:rsidR="008309C5">
              <w:rPr>
                <w:spacing w:val="-1"/>
              </w:rPr>
              <w:t>Thresholds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rPr>
                <w:spacing w:val="-2"/>
              </w:rPr>
              <w:t xml:space="preserve"> </w:t>
            </w:r>
            <w:r w:rsidR="00FF6C9F">
              <w:rPr>
                <w:spacing w:val="-1"/>
              </w:rPr>
              <w:t xml:space="preserve">Contract </w:t>
            </w:r>
            <w:r w:rsidR="008309C5">
              <w:rPr>
                <w:spacing w:val="-1"/>
              </w:rPr>
              <w:t>Adjudication</w:t>
            </w:r>
            <w:r w:rsidR="00FF6C9F">
              <w:rPr>
                <w:spacing w:val="-1"/>
              </w:rPr>
              <w:t>/Incentive Payments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  <w:spacing w:before="142"/>
          </w:pPr>
          <w:hyperlink w:anchor="_bookmark8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529C4" w:rsidRDefault="00D529C4">
          <w:pPr>
            <w:pStyle w:val="TOC2"/>
            <w:tabs>
              <w:tab w:val="right" w:leader="dot" w:pos="9492"/>
            </w:tabs>
            <w:spacing w:before="142"/>
          </w:pPr>
          <w:r>
            <w:t>Utilization Performance …………………………………………………………………………………………………………………</w:t>
          </w:r>
          <w:proofErr w:type="gramStart"/>
          <w:r>
            <w:t>…..</w:t>
          </w:r>
          <w:proofErr w:type="gramEnd"/>
          <w:r>
            <w:t>5</w:t>
          </w:r>
        </w:p>
        <w:p w:rsidR="00A87902" w:rsidRDefault="00A87902">
          <w:pPr>
            <w:pStyle w:val="TOC2"/>
            <w:tabs>
              <w:tab w:val="right" w:leader="dot" w:pos="9492"/>
            </w:tabs>
            <w:spacing w:before="142"/>
          </w:pPr>
          <w:r>
            <w:t>Performance Results ………………………………………………………………………………………………………………………….5</w:t>
          </w:r>
        </w:p>
        <w:p w:rsidR="00D612B1" w:rsidRDefault="006B553A">
          <w:pPr>
            <w:pStyle w:val="TOC1"/>
            <w:tabs>
              <w:tab w:val="right" w:leader="dot" w:pos="9492"/>
            </w:tabs>
          </w:pPr>
          <w:hyperlink w:anchor="_bookmark9" w:history="1">
            <w:r w:rsidR="008309C5">
              <w:rPr>
                <w:spacing w:val="-1"/>
              </w:rPr>
              <w:t>Other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Policies</w:t>
            </w:r>
            <w:r w:rsidR="008309C5">
              <w:rPr>
                <w:spacing w:val="-1"/>
              </w:rPr>
              <w:tab/>
            </w:r>
            <w:r w:rsidR="00D529C4">
              <w:rPr>
                <w:spacing w:val="-1"/>
              </w:rPr>
              <w:t xml:space="preserve">     </w:t>
            </w:r>
            <w:r w:rsidR="003C1F02">
              <w:t>6</w:t>
            </w:r>
          </w:hyperlink>
        </w:p>
        <w:p w:rsidR="00D612B1" w:rsidRDefault="006B553A">
          <w:pPr>
            <w:pStyle w:val="TOC2"/>
            <w:tabs>
              <w:tab w:val="right" w:leader="dot" w:pos="9492"/>
            </w:tabs>
          </w:pPr>
          <w:hyperlink w:anchor="_bookmark10" w:history="1">
            <w:r w:rsidR="008309C5">
              <w:rPr>
                <w:spacing w:val="-1"/>
              </w:rPr>
              <w:t>CAHPS</w:t>
            </w:r>
            <w:r w:rsidR="008309C5">
              <w:t xml:space="preserve"> </w:t>
            </w:r>
            <w:r w:rsidR="008309C5">
              <w:rPr>
                <w:spacing w:val="-1"/>
              </w:rPr>
              <w:t>PCMH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Patient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Satisfaction Survey Policy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use</w:t>
            </w:r>
            <w:r w:rsidR="008309C5">
              <w:rPr>
                <w:spacing w:val="-2"/>
              </w:rPr>
              <w:t xml:space="preserve"> </w:t>
            </w:r>
            <w:r w:rsidR="008309C5">
              <w:t xml:space="preserve">of </w:t>
            </w:r>
            <w:r w:rsidR="008309C5">
              <w:rPr>
                <w:spacing w:val="-1"/>
              </w:rPr>
              <w:t>alternate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vendors</w:t>
            </w:r>
            <w:r w:rsidR="008309C5">
              <w:rPr>
                <w:spacing w:val="-1"/>
              </w:rPr>
              <w:tab/>
            </w:r>
            <w:r w:rsidR="003C1F02">
              <w:t>6</w:t>
            </w:r>
          </w:hyperlink>
        </w:p>
      </w:sdtContent>
    </w:sdt>
    <w:p w:rsidR="00A87902" w:rsidRDefault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Pr="00A87902" w:rsidRDefault="00A87902" w:rsidP="00A87902"/>
    <w:p w:rsidR="00A87902" w:rsidRDefault="00A87902" w:rsidP="00A87902"/>
    <w:p w:rsidR="00A87902" w:rsidRDefault="00A87902" w:rsidP="00A87902">
      <w:pPr>
        <w:tabs>
          <w:tab w:val="left" w:pos="1720"/>
        </w:tabs>
      </w:pPr>
      <w:r>
        <w:tab/>
      </w:r>
    </w:p>
    <w:p w:rsidR="00D612B1" w:rsidRPr="00A87902" w:rsidRDefault="00A87902" w:rsidP="00A87902">
      <w:pPr>
        <w:tabs>
          <w:tab w:val="left" w:pos="1720"/>
        </w:tabs>
        <w:sectPr w:rsidR="00D612B1" w:rsidRPr="00A87902" w:rsidSect="003C1F02">
          <w:headerReference w:type="default" r:id="rId8"/>
          <w:footerReference w:type="default" r:id="rId9"/>
          <w:type w:val="continuous"/>
          <w:pgSz w:w="12240" w:h="15840"/>
          <w:pgMar w:top="1440" w:right="1296" w:bottom="1195" w:left="1296" w:header="720" w:footer="1022" w:gutter="0"/>
          <w:pgNumType w:start="1"/>
          <w:cols w:space="720"/>
        </w:sectPr>
      </w:pPr>
      <w:r>
        <w:tab/>
      </w:r>
    </w:p>
    <w:p w:rsidR="00D612B1" w:rsidRDefault="00D10627">
      <w:pPr>
        <w:pStyle w:val="Heading1"/>
        <w:ind w:left="1856"/>
        <w:rPr>
          <w:b w:val="0"/>
          <w:bCs w:val="0"/>
          <w:u w:val="none"/>
        </w:rPr>
      </w:pPr>
      <w:bookmarkStart w:id="0" w:name="2016-2017_Adult_Clinical_Quality_Measure"/>
      <w:bookmarkStart w:id="1" w:name="_bookmark0"/>
      <w:bookmarkEnd w:id="0"/>
      <w:bookmarkEnd w:id="1"/>
      <w:r>
        <w:rPr>
          <w:color w:val="365F91"/>
          <w:spacing w:val="-1"/>
          <w:u w:val="thick" w:color="365F91"/>
        </w:rPr>
        <w:lastRenderedPageBreak/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309C5">
        <w:rPr>
          <w:color w:val="365F91"/>
          <w:spacing w:val="-1"/>
          <w:u w:val="thick" w:color="365F91"/>
        </w:rPr>
        <w:t xml:space="preserve"> Adult</w:t>
      </w:r>
      <w:r w:rsidR="008309C5">
        <w:rPr>
          <w:color w:val="365F91"/>
          <w:spacing w:val="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387ABC" w:rsidP="004B4F7A">
      <w:pPr>
        <w:pStyle w:val="Heading2"/>
        <w:spacing w:before="252"/>
        <w:ind w:firstLine="500"/>
        <w:rPr>
          <w:b w:val="0"/>
          <w:bCs w:val="0"/>
        </w:rPr>
      </w:pPr>
      <w:bookmarkStart w:id="2" w:name="Measures,_Thresholds,_and_retirement_of_"/>
      <w:bookmarkStart w:id="3" w:name="_bookmark1"/>
      <w:bookmarkEnd w:id="2"/>
      <w:bookmarkEnd w:id="3"/>
      <w:r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</w:p>
    <w:p w:rsidR="00FE4182" w:rsidRPr="00FE4182" w:rsidRDefault="008309C5" w:rsidP="00561FB0">
      <w:pPr>
        <w:pStyle w:val="NoSpacing"/>
      </w:pPr>
      <w:r>
        <w:t>The</w:t>
      </w:r>
      <w:r>
        <w:rPr>
          <w:spacing w:val="-4"/>
        </w:rPr>
        <w:t xml:space="preserve"> </w:t>
      </w:r>
      <w:r w:rsidR="00FE4182">
        <w:t>following</w:t>
      </w:r>
      <w:r w:rsidR="00FE4182">
        <w:rPr>
          <w:spacing w:val="-4"/>
        </w:rPr>
        <w:t xml:space="preserve"> </w:t>
      </w:r>
      <w:r w:rsidR="00FE4182" w:rsidRPr="00FE4182">
        <w:rPr>
          <w:spacing w:val="-1"/>
        </w:rPr>
        <w:t>measures</w:t>
      </w:r>
      <w:r w:rsidR="00FE4182">
        <w:rPr>
          <w:spacing w:val="-5"/>
        </w:rPr>
        <w:t xml:space="preserve"> and targets will be used for performance evaluation.</w:t>
      </w:r>
      <w:r w:rsidR="00333EBA">
        <w:rPr>
          <w:spacing w:val="-5"/>
        </w:rPr>
        <w:t xml:space="preserve"> Practices are expected to use </w:t>
      </w:r>
      <w:hyperlink r:id="rId10" w:tgtFrame="_blank" w:history="1">
        <w:r w:rsidR="001C1429" w:rsidRPr="00DB2CE1">
          <w:rPr>
            <w:rStyle w:val="Hyperlink"/>
            <w:spacing w:val="-5"/>
          </w:rPr>
          <w:t>this</w:t>
        </w:r>
        <w:r w:rsidR="00333EBA" w:rsidRPr="00DB2CE1">
          <w:rPr>
            <w:rStyle w:val="Hyperlink"/>
            <w:spacing w:val="-5"/>
          </w:rPr>
          <w:t xml:space="preserve"> measurement </w:t>
        </w:r>
        <w:r w:rsidR="00561FB0" w:rsidRPr="00DB2CE1">
          <w:rPr>
            <w:rStyle w:val="Hyperlink"/>
            <w:spacing w:val="-5"/>
          </w:rPr>
          <w:t xml:space="preserve"> </w:t>
        </w:r>
        <w:r w:rsidR="00333EBA" w:rsidRPr="00DB2CE1">
          <w:rPr>
            <w:rStyle w:val="Hyperlink"/>
            <w:spacing w:val="-5"/>
          </w:rPr>
          <w:t>specification document</w:t>
        </w:r>
      </w:hyperlink>
      <w:r w:rsidR="00333EBA">
        <w:rPr>
          <w:spacing w:val="-5"/>
        </w:rPr>
        <w:t xml:space="preserve"> </w:t>
      </w:r>
      <w:r w:rsidR="00DB2CE1">
        <w:rPr>
          <w:spacing w:val="-5"/>
        </w:rPr>
        <w:t xml:space="preserve"> (Note: to be updated once approved by OHIC Practice Transformation Committee) </w:t>
      </w:r>
      <w:r w:rsidR="00333EBA">
        <w:rPr>
          <w:spacing w:val="-5"/>
        </w:rPr>
        <w:t xml:space="preserve">when reporting clinical quality measure performance. </w:t>
      </w:r>
      <w:r w:rsidR="00FE4182">
        <w:rPr>
          <w:spacing w:val="-5"/>
        </w:rPr>
        <w:t xml:space="preserve"> </w:t>
      </w:r>
      <w:r w:rsidR="00CB3EB8">
        <w:rPr>
          <w:spacing w:val="-5"/>
        </w:rPr>
        <w:t xml:space="preserve">Practices are expected to attend the monthly Practice Reporting/Practice Transformation Committee meeting which provides “best practice” sharing on capturing, generating and using information. </w:t>
      </w:r>
      <w:r w:rsidR="00561FB0">
        <w:rPr>
          <w:spacing w:val="-5"/>
        </w:rPr>
        <w:t>Blood pressure control measure has been updated to HEDIS 2019. Note</w:t>
      </w:r>
      <w:r w:rsidR="006C7040">
        <w:t>:</w:t>
      </w:r>
      <w:r w:rsidR="00FE4182">
        <w:rPr>
          <w:spacing w:val="-3"/>
        </w:rPr>
        <w:t xml:space="preserve"> some measures have different targets for practices where 50% or more pati</w:t>
      </w:r>
      <w:r w:rsidR="006C7040">
        <w:rPr>
          <w:spacing w:val="-3"/>
        </w:rPr>
        <w:t xml:space="preserve">ents are covered by Medicaid than </w:t>
      </w:r>
      <w:r w:rsidR="00FE4182">
        <w:rPr>
          <w:spacing w:val="-3"/>
        </w:rPr>
        <w:t xml:space="preserve">those with a higher percentage of patients covered by commercial plans. 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10530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260"/>
        <w:gridCol w:w="1460"/>
        <w:gridCol w:w="1530"/>
        <w:gridCol w:w="1350"/>
        <w:gridCol w:w="2230"/>
      </w:tblGrid>
      <w:tr w:rsidR="00387ABC" w:rsidRPr="00387ABC" w:rsidTr="00A7219F">
        <w:trPr>
          <w:trHeight w:hRule="exact" w:val="1473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A721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2019-2020</w:t>
            </w:r>
          </w:p>
          <w:p w:rsidR="00387ABC" w:rsidRPr="00387ABC" w:rsidRDefault="00387ABC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 xml:space="preserve">Non-50%+ Medicaid 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left="215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threshold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A7219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2019-2020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right="1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50%+ Medicaid 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387ABC" w:rsidRPr="00CD0970" w:rsidRDefault="000E6774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 less  Medicaid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FF6C9F" w:rsidP="00FE4182">
            <w:pPr>
              <w:pStyle w:val="TableParagraph"/>
              <w:spacing w:line="257" w:lineRule="exact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0E6774" w:rsidRPr="00387ABC" w:rsidRDefault="000E6774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Threshold </w:t>
            </w:r>
          </w:p>
          <w:p w:rsidR="00387ABC" w:rsidRPr="00387ABC" w:rsidRDefault="000E6774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50%+ Medicaid 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387ABC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  <w:p w:rsidR="006F13D5" w:rsidRPr="00387ABC" w:rsidRDefault="006F13D5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OHIC 10/2019  thresholds are for reference  </w:t>
            </w:r>
          </w:p>
        </w:tc>
      </w:tr>
      <w:tr w:rsidR="00387ABC" w:rsidRPr="00387ABC" w:rsidTr="00A7219F">
        <w:trPr>
          <w:trHeight w:hRule="exact" w:val="1049"/>
        </w:trPr>
        <w:tc>
          <w:tcPr>
            <w:tcW w:w="27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Adult BMI </w:t>
            </w:r>
          </w:p>
        </w:tc>
        <w:tc>
          <w:tcPr>
            <w:tcW w:w="126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22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Retired 6/30/19 </w:t>
            </w:r>
          </w:p>
        </w:tc>
      </w:tr>
      <w:tr w:rsidR="00387ABC" w:rsidRPr="00387ABC" w:rsidTr="00A7219F">
        <w:trPr>
          <w:trHeight w:hRule="exact" w:val="53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DM A1c 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 Control (&lt;8)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66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62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For reference: OHIC threshold 57.56%</w:t>
            </w:r>
          </w:p>
        </w:tc>
      </w:tr>
      <w:tr w:rsidR="00387ABC" w:rsidRPr="00387ABC" w:rsidTr="00A7219F">
        <w:trPr>
          <w:trHeight w:hRule="exact" w:val="1001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61FB0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Hypertension BP Control (&lt;140/90)</w:t>
            </w:r>
            <w:r w:rsidR="000841F9">
              <w:rPr>
                <w:rFonts w:ascii="Cambria"/>
                <w:sz w:val="20"/>
                <w:szCs w:val="20"/>
              </w:rPr>
              <w:t xml:space="preserve">    </w:t>
            </w:r>
          </w:p>
          <w:p w:rsidR="000841F9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age 60-85 &lt; 150/90</w:t>
            </w:r>
          </w:p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w/diabetes age 60-85 &lt;140/90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Retired 12/1/18</w:t>
            </w:r>
          </w:p>
        </w:tc>
      </w:tr>
      <w:tr w:rsidR="000841F9" w:rsidRPr="00387ABC" w:rsidTr="00A7219F">
        <w:trPr>
          <w:trHeight w:hRule="exact" w:val="1649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Pr="00387ABC" w:rsidRDefault="000841F9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Hypertension BP control &lt;140/90 </w:t>
            </w:r>
            <w:r w:rsidR="00561FB0">
              <w:rPr>
                <w:rFonts w:ascii="Cambria"/>
                <w:sz w:val="20"/>
                <w:szCs w:val="20"/>
              </w:rPr>
              <w:t xml:space="preserve">   </w:t>
            </w:r>
            <w:r>
              <w:rPr>
                <w:rFonts w:ascii="Cambria"/>
                <w:sz w:val="20"/>
                <w:szCs w:val="20"/>
              </w:rPr>
              <w:t xml:space="preserve">age 18-85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79%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68%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79%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0841F9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74%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41F9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Revised CTC incentive measure 1/1/19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For reference: OHIC threshold: 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Non-50% Medicaid: 73.72</w:t>
            </w:r>
          </w:p>
          <w:p w:rsidR="00A7219F" w:rsidRDefault="00A7219F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50% +Medicaid: </w:t>
            </w:r>
            <w:r w:rsidR="006F13D5">
              <w:rPr>
                <w:rFonts w:ascii="Cambria"/>
                <w:sz w:val="20"/>
                <w:szCs w:val="20"/>
              </w:rPr>
              <w:t>67.41%</w:t>
            </w:r>
          </w:p>
        </w:tc>
      </w:tr>
      <w:tr w:rsidR="00387ABC" w:rsidRPr="00387ABC" w:rsidTr="00A7219F">
        <w:trPr>
          <w:trHeight w:hRule="exact" w:val="65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Tobacco Cessation</w:t>
            </w:r>
            <w:r>
              <w:rPr>
                <w:rFonts w:ascii="Cambria"/>
                <w:sz w:val="20"/>
                <w:szCs w:val="20"/>
              </w:rPr>
              <w:t xml:space="preserve"> Intervention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1166D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Retired </w:t>
            </w:r>
          </w:p>
        </w:tc>
      </w:tr>
      <w:tr w:rsidR="00CD0970" w:rsidRPr="00387ABC" w:rsidTr="00FC7534">
        <w:trPr>
          <w:trHeight w:hRule="exact" w:val="3404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7534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Depression Screen and follow up</w:t>
            </w:r>
            <w:r w:rsidR="00854A75">
              <w:rPr>
                <w:rFonts w:ascii="Cambria"/>
                <w:sz w:val="20"/>
                <w:szCs w:val="20"/>
              </w:rPr>
              <w:t xml:space="preserve">; </w:t>
            </w:r>
          </w:p>
          <w:p w:rsidR="00387ABC" w:rsidRPr="00387ABC" w:rsidRDefault="00FC7534" w:rsidP="00C5298C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FC7534">
              <w:rPr>
                <w:rFonts w:ascii="Cambria"/>
                <w:sz w:val="20"/>
                <w:szCs w:val="20"/>
                <w:highlight w:val="yellow"/>
              </w:rPr>
              <w:t>NOTE:</w:t>
            </w:r>
            <w:r>
              <w:rPr>
                <w:rFonts w:ascii="Cambria"/>
                <w:sz w:val="20"/>
                <w:szCs w:val="20"/>
              </w:rPr>
              <w:t xml:space="preserve"> </w:t>
            </w:r>
            <w:r w:rsidR="00854A75">
              <w:rPr>
                <w:rFonts w:ascii="Cambria"/>
                <w:sz w:val="20"/>
                <w:szCs w:val="20"/>
              </w:rPr>
              <w:t xml:space="preserve">Adult practices in CTC </w:t>
            </w:r>
            <w:r>
              <w:rPr>
                <w:rFonts w:ascii="Cambria"/>
                <w:sz w:val="20"/>
                <w:szCs w:val="20"/>
              </w:rPr>
              <w:t xml:space="preserve">can continue to use </w:t>
            </w:r>
            <w:hyperlink r:id="rId11" w:history="1">
              <w:r w:rsidRPr="00C5298C">
                <w:rPr>
                  <w:rStyle w:val="Hyperlink"/>
                  <w:rFonts w:ascii="Cambria"/>
                  <w:sz w:val="20"/>
                  <w:szCs w:val="20"/>
                </w:rPr>
                <w:t>measurement specification dated 1</w:t>
              </w:r>
              <w:r w:rsidR="00C5298C" w:rsidRPr="00C5298C">
                <w:rPr>
                  <w:rStyle w:val="Hyperlink"/>
                  <w:rFonts w:ascii="Cambria"/>
                  <w:sz w:val="20"/>
                  <w:szCs w:val="20"/>
                </w:rPr>
                <w:t>2/2018</w:t>
              </w:r>
            </w:hyperlink>
            <w:r>
              <w:rPr>
                <w:rFonts w:ascii="Cambria"/>
                <w:sz w:val="20"/>
                <w:szCs w:val="20"/>
              </w:rPr>
              <w:t xml:space="preserve"> and are encouraged to develop work flows and reporting to meet OHIC reporting requirements 10/15/20.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7534" w:rsidRDefault="00FE4182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Measure requires c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are plan or additional </w:t>
            </w:r>
            <w:r w:rsidR="00FC7534" w:rsidRPr="00387ABC">
              <w:rPr>
                <w:rFonts w:ascii="Cambria"/>
                <w:sz w:val="20"/>
                <w:szCs w:val="20"/>
              </w:rPr>
              <w:t>evaluation;</w:t>
            </w:r>
          </w:p>
          <w:p w:rsidR="00387ABC" w:rsidRDefault="00FC753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 w:rsidRPr="00FC7534">
              <w:rPr>
                <w:rFonts w:ascii="Cambria"/>
                <w:sz w:val="20"/>
                <w:szCs w:val="20"/>
                <w:highlight w:val="yellow"/>
              </w:rPr>
              <w:t>NOTE:</w:t>
            </w:r>
            <w:r>
              <w:rPr>
                <w:rFonts w:ascii="Cambria"/>
                <w:sz w:val="20"/>
                <w:szCs w:val="20"/>
              </w:rPr>
              <w:t xml:space="preserve">  </w:t>
            </w:r>
            <w:hyperlink r:id="rId12" w:history="1">
              <w:r w:rsidRPr="00C5298C">
                <w:rPr>
                  <w:rStyle w:val="Hyperlink"/>
                  <w:rFonts w:ascii="Cambria"/>
                  <w:sz w:val="20"/>
                  <w:szCs w:val="20"/>
                </w:rPr>
                <w:t>measurement specifications updated 10/19</w:t>
              </w:r>
            </w:hyperlink>
            <w:r>
              <w:rPr>
                <w:rFonts w:ascii="Cambria"/>
                <w:sz w:val="20"/>
                <w:szCs w:val="20"/>
              </w:rPr>
              <w:t xml:space="preserve"> with expectation that practices will report to OHIC using these measurement specifications effective 10/15/20 with results being considered baseline results; OHIC threshold will not be used. </w:t>
            </w:r>
          </w:p>
          <w:p w:rsidR="006F13D5" w:rsidRPr="00387ABC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threshold: 71.23%</w:t>
            </w:r>
            <w:r w:rsidR="00FC7534">
              <w:rPr>
                <w:rFonts w:ascii="Cambria"/>
                <w:sz w:val="20"/>
                <w:szCs w:val="20"/>
              </w:rPr>
              <w:t xml:space="preserve">; </w:t>
            </w:r>
          </w:p>
        </w:tc>
      </w:tr>
      <w:tr w:rsidR="00FF6C9F" w:rsidRPr="00387ABC" w:rsidTr="00A7219F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lastRenderedPageBreak/>
              <w:t xml:space="preserve">Colorectal Cancer Screening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61%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61%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Baseline year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A721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New CTC incentive measure 7/1/19</w:t>
            </w:r>
          </w:p>
          <w:p w:rsidR="006F13D5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OHIC threshold 61.35%</w:t>
            </w:r>
          </w:p>
        </w:tc>
      </w:tr>
      <w:tr w:rsidR="00FF6C9F" w:rsidRPr="00387ABC" w:rsidTr="00A7219F">
        <w:trPr>
          <w:trHeight w:hRule="exact" w:val="1325"/>
        </w:trPr>
        <w:tc>
          <w:tcPr>
            <w:tcW w:w="2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Eye Exams for Patients with Diabetes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CA24D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51</w:t>
            </w:r>
            <w:r w:rsidR="00A7219F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4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CA24D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51</w:t>
            </w:r>
            <w:r w:rsidR="00A7219F">
              <w:rPr>
                <w:rFonts w:ascii="Cambri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22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New CTC incentive measure 7/1/19 </w:t>
            </w:r>
          </w:p>
          <w:p w:rsidR="006F13D5" w:rsidRDefault="006F13D5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OHIC threshold: 51.16% 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4" w:name="Timing_for_adjudication"/>
      <w:bookmarkStart w:id="5" w:name="_bookmark2"/>
      <w:bookmarkEnd w:id="4"/>
      <w:bookmarkEnd w:id="5"/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561FB0" w:rsidRDefault="00561FB0" w:rsidP="00FE4182">
      <w:pPr>
        <w:pStyle w:val="Heading2"/>
        <w:ind w:firstLine="500"/>
        <w:rPr>
          <w:color w:val="4F81BD"/>
          <w:spacing w:val="-1"/>
        </w:rPr>
      </w:pPr>
    </w:p>
    <w:p w:rsidR="004B4F7A" w:rsidRDefault="008309C5" w:rsidP="00FE4182">
      <w:pPr>
        <w:pStyle w:val="Heading2"/>
        <w:ind w:firstLine="500"/>
        <w:rPr>
          <w:color w:val="4F81BD"/>
        </w:rPr>
      </w:pPr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 w:rsidR="00333EBA">
        <w:rPr>
          <w:color w:val="4F81BD"/>
          <w:spacing w:val="-1"/>
        </w:rPr>
        <w:t xml:space="preserve"> contract </w:t>
      </w:r>
      <w:r w:rsidR="00333EBA">
        <w:rPr>
          <w:color w:val="4F81BD"/>
          <w:spacing w:val="-14"/>
        </w:rPr>
        <w:t>adjudication</w:t>
      </w:r>
      <w:r w:rsidR="00333EBA">
        <w:rPr>
          <w:color w:val="4F81BD"/>
        </w:rPr>
        <w:t xml:space="preserve"> for incentive payments </w:t>
      </w:r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333EBA" w:rsidRPr="00AD5665" w:rsidRDefault="008309C5" w:rsidP="00333EBA">
      <w:pPr>
        <w:widowControl/>
        <w:ind w:left="720"/>
        <w:jc w:val="both"/>
        <w:rPr>
          <w:sz w:val="24"/>
          <w:szCs w:val="24"/>
        </w:rPr>
      </w:pPr>
      <w:r>
        <w:rPr>
          <w:rFonts w:ascii="Calibri"/>
        </w:rPr>
        <w:t>1.</w:t>
      </w:r>
      <w:r w:rsidR="000A6ABF">
        <w:rPr>
          <w:rFonts w:ascii="Calibri"/>
        </w:rPr>
        <w:t xml:space="preserve"> 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Q1</w:t>
      </w:r>
      <w:r>
        <w:rPr>
          <w:rFonts w:ascii="Calibri"/>
          <w:spacing w:val="-1"/>
        </w:rPr>
        <w:t xml:space="preserve"> </w:t>
      </w:r>
      <w:r w:rsidR="006F13D5">
        <w:rPr>
          <w:rFonts w:ascii="Calibri"/>
          <w:spacing w:val="-1"/>
        </w:rPr>
        <w:t>2020</w:t>
      </w:r>
      <w:r w:rsidR="000E6774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adjudication</w:t>
      </w:r>
      <w:r w:rsidR="000E6774">
        <w:rPr>
          <w:rFonts w:ascii="Calibri"/>
          <w:spacing w:val="-1"/>
        </w:rPr>
        <w:t xml:space="preserve">. </w:t>
      </w:r>
      <w:r w:rsidR="00333EBA" w:rsidRPr="00AD5665">
        <w:rPr>
          <w:sz w:val="24"/>
          <w:szCs w:val="24"/>
        </w:rPr>
        <w:t>Reporting values will be rounded to the nearest tenth of a digit for measurement purposes related to the Targets.</w:t>
      </w:r>
      <w:r w:rsidR="00333EBA">
        <w:rPr>
          <w:sz w:val="24"/>
          <w:szCs w:val="24"/>
        </w:rPr>
        <w:t xml:space="preserve"> Practices will be eligible for incentive payment based on performance year and payment schedule identified in the common</w:t>
      </w:r>
      <w:r w:rsidR="00F36DC1">
        <w:rPr>
          <w:sz w:val="24"/>
          <w:szCs w:val="24"/>
        </w:rPr>
        <w:t xml:space="preserve"> contract. </w:t>
      </w:r>
      <w:r w:rsidR="000E6774">
        <w:rPr>
          <w:sz w:val="24"/>
          <w:szCs w:val="24"/>
        </w:rPr>
        <w:t>CTC will notify the health plans of practice</w:t>
      </w:r>
      <w:r w:rsidR="006F13D5">
        <w:rPr>
          <w:sz w:val="24"/>
          <w:szCs w:val="24"/>
        </w:rPr>
        <w:t xml:space="preserve"> incentive payment rates by 6/7/20</w:t>
      </w:r>
      <w:r w:rsidR="000E6774">
        <w:rPr>
          <w:sz w:val="24"/>
          <w:szCs w:val="24"/>
        </w:rPr>
        <w:t xml:space="preserve">. </w:t>
      </w:r>
    </w:p>
    <w:p w:rsidR="00D612B1" w:rsidRDefault="00D612B1" w:rsidP="00FE4182">
      <w:pPr>
        <w:spacing w:before="42" w:line="278" w:lineRule="auto"/>
        <w:ind w:left="1820" w:right="1610" w:hanging="361"/>
        <w:rPr>
          <w:rFonts w:ascii="Calibri" w:eastAsia="Calibri" w:hAnsi="Calibri" w:cs="Calibri"/>
        </w:rPr>
      </w:pP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6" w:name="_bookmark3"/>
      <w:bookmarkEnd w:id="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35335F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before="45" w:line="276" w:lineRule="auto"/>
        <w:ind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6F13D5">
        <w:rPr>
          <w:spacing w:val="-1"/>
        </w:rPr>
        <w:t>2020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6F13D5">
        <w:rPr>
          <w:spacing w:val="-1"/>
        </w:rPr>
        <w:t>2019</w:t>
      </w:r>
      <w:r>
        <w:rPr>
          <w:spacing w:val="-1"/>
        </w:rPr>
        <w:t>-</w:t>
      </w:r>
      <w:r w:rsidR="006F13D5">
        <w:rPr>
          <w:spacing w:val="-1"/>
        </w:rPr>
        <w:t>2020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6F13D5">
        <w:rPr>
          <w:b/>
          <w:spacing w:val="-1"/>
        </w:rPr>
        <w:t>2019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6F13D5">
        <w:rPr>
          <w:b/>
          <w:spacing w:val="-1"/>
        </w:rPr>
        <w:t>2019</w:t>
      </w:r>
      <w:r>
        <w:rPr>
          <w:b/>
          <w:spacing w:val="-1"/>
        </w:rPr>
        <w:t>-</w:t>
      </w:r>
      <w:r w:rsidR="006F13D5"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6F13D5">
        <w:rPr>
          <w:spacing w:val="-1"/>
        </w:rPr>
        <w:t>2019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 w:rsidR="00CB3EB8">
        <w:rPr>
          <w:spacing w:val="-1"/>
        </w:rPr>
        <w:t>2.5%</w:t>
      </w:r>
      <w:r w:rsidR="00CB3EB8">
        <w:rPr>
          <w:spacing w:val="-5"/>
        </w:rPr>
        <w:t>-point</w:t>
      </w:r>
      <w:r>
        <w:rPr>
          <w:spacing w:val="-1"/>
        </w:rPr>
        <w:t xml:space="preserve">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6F13D5">
        <w:rPr>
          <w:spacing w:val="-1"/>
        </w:rPr>
        <w:t>2019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Pr="0035335F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line="276" w:lineRule="auto"/>
        <w:ind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35335F" w:rsidRDefault="0035335F" w:rsidP="00FE4182">
      <w:pPr>
        <w:pStyle w:val="BodyText"/>
        <w:tabs>
          <w:tab w:val="left" w:pos="1820"/>
        </w:tabs>
        <w:spacing w:line="276" w:lineRule="auto"/>
        <w:ind w:left="1820" w:right="1440" w:firstLine="0"/>
      </w:pPr>
    </w:p>
    <w:p w:rsidR="00D612B1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7" w:lineRule="auto"/>
        <w:ind w:right="2111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thresholds</w:t>
      </w:r>
      <w:r>
        <w:rPr>
          <w:spacing w:val="-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 w:rsidR="0035335F">
        <w:rPr>
          <w:spacing w:val="-1"/>
        </w:rPr>
        <w:t>success</w:t>
      </w:r>
      <w:r w:rsidR="0053772D">
        <w:rPr>
          <w:spacing w:val="-1"/>
        </w:rPr>
        <w:t>.</w:t>
      </w:r>
    </w:p>
    <w:p w:rsidR="00D612B1" w:rsidRPr="00AD5665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</w:pP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>
        <w:t>Year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II:</w:t>
      </w:r>
      <w:r w:rsidRPr="0035335F">
        <w:rPr>
          <w:spacing w:val="48"/>
        </w:rPr>
        <w:t xml:space="preserve"> </w:t>
      </w:r>
      <w:r w:rsidRPr="0035335F">
        <w:rPr>
          <w:spacing w:val="-1"/>
        </w:rPr>
        <w:t>Practices</w:t>
      </w:r>
      <w:r w:rsidRPr="0035335F">
        <w:rPr>
          <w:spacing w:val="-4"/>
        </w:rPr>
        <w:t xml:space="preserve"> </w:t>
      </w:r>
      <w:r>
        <w:t>must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meet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5"/>
        </w:rPr>
        <w:t xml:space="preserve"> </w:t>
      </w:r>
      <w:r>
        <w:t>of</w:t>
      </w:r>
      <w:r w:rsidRPr="0035335F">
        <w:rPr>
          <w:spacing w:val="-4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5"/>
        </w:rPr>
        <w:t xml:space="preserve"> </w:t>
      </w:r>
      <w:r>
        <w:t>for</w:t>
      </w:r>
      <w:r w:rsidRPr="0035335F">
        <w:rPr>
          <w:spacing w:val="63"/>
          <w:w w:val="99"/>
        </w:rPr>
        <w:t xml:space="preserve"> </w:t>
      </w:r>
      <w:r w:rsidR="0035335F" w:rsidRPr="0035335F">
        <w:rPr>
          <w:spacing w:val="-1"/>
        </w:rPr>
        <w:t xml:space="preserve">success. </w:t>
      </w:r>
      <w:r w:rsidRPr="0035335F">
        <w:rPr>
          <w:spacing w:val="-1"/>
        </w:rPr>
        <w:t>Practices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 xml:space="preserve">will </w:t>
      </w:r>
      <w:r>
        <w:t>be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eligible</w:t>
      </w:r>
      <w:r w:rsidRPr="0035335F">
        <w:rPr>
          <w:spacing w:val="-3"/>
        </w:rPr>
        <w:t xml:space="preserve"> </w:t>
      </w:r>
      <w:r>
        <w:t>for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the additional</w:t>
      </w:r>
      <w:r w:rsidR="0035335F" w:rsidRPr="0035335F">
        <w:rPr>
          <w:spacing w:val="85"/>
        </w:rPr>
        <w:t xml:space="preserve"> </w:t>
      </w: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incentive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(as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indicated</w:t>
      </w:r>
      <w:r w:rsidRPr="0035335F">
        <w:rPr>
          <w:spacing w:val="-5"/>
        </w:rPr>
        <w:t xml:space="preserve"> </w:t>
      </w:r>
      <w:r>
        <w:t>in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developmental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contract)</w:t>
      </w:r>
      <w:r w:rsidRPr="0035335F">
        <w:rPr>
          <w:spacing w:val="-4"/>
        </w:rPr>
        <w:t xml:space="preserve"> </w:t>
      </w:r>
      <w:r>
        <w:t>if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they</w:t>
      </w:r>
      <w:r w:rsidRPr="0035335F">
        <w:rPr>
          <w:spacing w:val="97"/>
          <w:w w:val="99"/>
        </w:rPr>
        <w:t xml:space="preserve"> </w:t>
      </w:r>
      <w:r w:rsidRPr="0035335F">
        <w:rPr>
          <w:spacing w:val="-1"/>
        </w:rPr>
        <w:t>successfully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achieve</w:t>
      </w:r>
      <w:r w:rsidRPr="0035335F">
        <w:rPr>
          <w:spacing w:val="-2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4"/>
        </w:rPr>
        <w:t xml:space="preserve"> </w:t>
      </w:r>
      <w:r>
        <w:t>for</w:t>
      </w:r>
      <w:r w:rsidRPr="0035335F">
        <w:rPr>
          <w:spacing w:val="-5"/>
        </w:rPr>
        <w:t xml:space="preserve"> </w:t>
      </w:r>
      <w:r>
        <w:t>five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4"/>
        </w:rPr>
        <w:t xml:space="preserve"> </w:t>
      </w:r>
      <w:r>
        <w:t>of</w:t>
      </w:r>
      <w:r w:rsidRPr="0035335F">
        <w:rPr>
          <w:spacing w:val="-3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measures</w:t>
      </w:r>
      <w:r w:rsidR="0035335F">
        <w:rPr>
          <w:spacing w:val="-1"/>
        </w:rPr>
        <w:t>.</w:t>
      </w:r>
    </w:p>
    <w:p w:rsidR="00AD5665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</w:pPr>
    </w:p>
    <w:p w:rsidR="00AD5665" w:rsidRPr="0035335F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  <w:sectPr w:rsidR="00AD5665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6F13D5" w:rsidP="00FE4182">
      <w:pPr>
        <w:pStyle w:val="Heading1"/>
        <w:ind w:left="1604"/>
        <w:rPr>
          <w:b w:val="0"/>
          <w:bCs w:val="0"/>
          <w:u w:val="none"/>
        </w:rPr>
      </w:pPr>
      <w:bookmarkStart w:id="7" w:name="2016-2017_CAHPS_PCMH_Survey_Recommendati"/>
      <w:bookmarkStart w:id="8" w:name="_bookmark4"/>
      <w:bookmarkEnd w:id="7"/>
      <w:bookmarkEnd w:id="8"/>
      <w:r>
        <w:rPr>
          <w:color w:val="365F91"/>
          <w:spacing w:val="-1"/>
          <w:u w:val="thick" w:color="365F91"/>
        </w:rPr>
        <w:lastRenderedPageBreak/>
        <w:t>2019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2020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D612B1" w:rsidP="00FE418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FE4182">
      <w:pPr>
        <w:pStyle w:val="Heading2"/>
        <w:rPr>
          <w:b w:val="0"/>
          <w:bCs w:val="0"/>
        </w:rPr>
      </w:pPr>
      <w:bookmarkStart w:id="9" w:name="Timing_for_surveys_and_adjudication"/>
      <w:bookmarkStart w:id="10" w:name="_bookmark5"/>
      <w:bookmarkEnd w:id="9"/>
      <w:bookmarkEnd w:id="10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</w:p>
    <w:p w:rsidR="00D612B1" w:rsidRDefault="008309C5" w:rsidP="00FE4182">
      <w:pPr>
        <w:pStyle w:val="BodyText"/>
        <w:tabs>
          <w:tab w:val="left" w:pos="995"/>
        </w:tabs>
        <w:spacing w:before="45"/>
        <w:ind w:left="580" w:firstLine="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6F13D5">
        <w:rPr>
          <w:spacing w:val="-1"/>
        </w:rPr>
        <w:t>2019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E4182">
      <w:pPr>
        <w:pStyle w:val="Heading2"/>
        <w:spacing w:before="0"/>
        <w:rPr>
          <w:b w:val="0"/>
          <w:bCs w:val="0"/>
        </w:rPr>
      </w:pPr>
      <w:bookmarkStart w:id="11" w:name="Details_of_data_review"/>
      <w:bookmarkStart w:id="12" w:name="_bookmark6"/>
      <w:bookmarkEnd w:id="11"/>
      <w:bookmarkEnd w:id="12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</w:p>
    <w:p w:rsidR="00D612B1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  <w:spacing w:before="47" w:line="275" w:lineRule="auto"/>
        <w:ind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F36DC1">
        <w:t>all</w:t>
      </w:r>
      <w:r w:rsidR="00F36DC1">
        <w:rPr>
          <w:spacing w:val="-5"/>
        </w:rPr>
        <w:t xml:space="preserve"> </w:t>
      </w:r>
      <w:r w:rsidR="00F36DC1">
        <w:rPr>
          <w:spacing w:val="-1"/>
        </w:rPr>
        <w:t>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F36DC1">
        <w:rPr>
          <w:spacing w:val="-1"/>
        </w:rPr>
        <w:t>.</w:t>
      </w:r>
    </w:p>
    <w:p w:rsidR="004B4F7A" w:rsidRPr="00333EBA" w:rsidRDefault="005936AB" w:rsidP="00333EBA">
      <w:pPr>
        <w:pStyle w:val="BodyText"/>
        <w:numPr>
          <w:ilvl w:val="0"/>
          <w:numId w:val="3"/>
        </w:numPr>
        <w:tabs>
          <w:tab w:val="left" w:pos="940"/>
        </w:tabs>
      </w:pPr>
      <w:r>
        <w:rPr>
          <w:spacing w:val="-1"/>
        </w:rPr>
        <w:t>Different targets are set for practices whose panel is 50% or more Medicaid patients than those with higher commercial patient populations.</w:t>
      </w:r>
    </w:p>
    <w:p w:rsidR="004B4F7A" w:rsidRPr="0061701A" w:rsidRDefault="008309C5" w:rsidP="00FE4182">
      <w:pPr>
        <w:spacing w:before="199"/>
        <w:ind w:left="220"/>
        <w:rPr>
          <w:rFonts w:ascii="Cambria"/>
          <w:b/>
          <w:color w:val="4F81BD"/>
          <w:spacing w:val="-1"/>
          <w:sz w:val="26"/>
        </w:rPr>
      </w:pPr>
      <w:bookmarkStart w:id="13" w:name="Thresholds_for_07/01/2017_Adjudication"/>
      <w:bookmarkStart w:id="14" w:name="_bookmark7"/>
      <w:bookmarkEnd w:id="13"/>
      <w:bookmarkEnd w:id="14"/>
      <w:r>
        <w:rPr>
          <w:rFonts w:ascii="Cambria"/>
          <w:b/>
          <w:color w:val="4F81BD"/>
          <w:spacing w:val="-1"/>
          <w:sz w:val="26"/>
        </w:rPr>
        <w:t>Thresholds</w:t>
      </w:r>
      <w:r>
        <w:rPr>
          <w:rFonts w:ascii="Cambria"/>
          <w:b/>
          <w:color w:val="4F81BD"/>
          <w:spacing w:val="-15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for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07/01/</w:t>
      </w:r>
      <w:r w:rsidR="006F13D5">
        <w:rPr>
          <w:rFonts w:ascii="Cambria"/>
          <w:b/>
          <w:color w:val="4F81BD"/>
          <w:sz w:val="26"/>
        </w:rPr>
        <w:t>2019-2020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440"/>
        <w:gridCol w:w="1440"/>
        <w:gridCol w:w="1350"/>
        <w:gridCol w:w="1350"/>
        <w:gridCol w:w="1710"/>
      </w:tblGrid>
      <w:tr w:rsidR="004B4F7A" w:rsidRPr="004B4F7A" w:rsidTr="0053625A">
        <w:trPr>
          <w:trHeight w:hRule="exact" w:val="17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6F13D5" w:rsidP="00FE4182">
            <w:pPr>
              <w:pStyle w:val="TableParagraph"/>
              <w:spacing w:line="257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</w:t>
            </w:r>
            <w:r w:rsidR="00D10627">
              <w:rPr>
                <w:rFonts w:ascii="Cambria"/>
                <w:b/>
                <w:spacing w:val="-2"/>
                <w:sz w:val="20"/>
                <w:szCs w:val="20"/>
              </w:rPr>
              <w:t>-2020</w:t>
            </w:r>
            <w:r w:rsidR="004B4F7A" w:rsidRPr="005936AB">
              <w:rPr>
                <w:rFonts w:ascii="Cambria"/>
                <w:b/>
                <w:spacing w:val="-2"/>
                <w:sz w:val="20"/>
                <w:szCs w:val="20"/>
              </w:rPr>
              <w:t xml:space="preserve"> Non-50%+ Medicaid threshold</w:t>
            </w:r>
          </w:p>
          <w:p w:rsidR="004B4F7A" w:rsidRPr="005936AB" w:rsidRDefault="004B4F7A" w:rsidP="00FE4182">
            <w:pPr>
              <w:pStyle w:val="TableParagraph"/>
              <w:spacing w:line="341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095C2B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2019</w:t>
            </w:r>
            <w:r w:rsidR="006F13D5">
              <w:rPr>
                <w:rFonts w:ascii="Cambria"/>
                <w:b/>
                <w:spacing w:val="-2"/>
                <w:sz w:val="20"/>
                <w:szCs w:val="20"/>
              </w:rPr>
              <w:t>-2020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50%+ Medicaid threshold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5532BC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Threshold for practices with less than 50</w:t>
            </w:r>
            <w:r w:rsidR="006F13D5">
              <w:rPr>
                <w:rFonts w:ascii="Cambria"/>
                <w:b/>
                <w:spacing w:val="-2"/>
                <w:sz w:val="20"/>
                <w:szCs w:val="20"/>
              </w:rPr>
              <w:t xml:space="preserve">% </w:t>
            </w:r>
            <w:r w:rsidR="006F13D5" w:rsidRPr="005936AB">
              <w:rPr>
                <w:rFonts w:ascii="Cambria"/>
                <w:b/>
                <w:spacing w:val="-2"/>
                <w:sz w:val="20"/>
                <w:szCs w:val="20"/>
              </w:rPr>
              <w:t>Medicaid</w:t>
            </w:r>
          </w:p>
          <w:p w:rsidR="004B4F7A" w:rsidRPr="005936AB" w:rsidRDefault="004B4F7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4B4F7A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50%+ Medicaid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5532BC" w:rsidP="00333EBA">
            <w:pPr>
              <w:pStyle w:val="TableParagraph"/>
              <w:ind w:right="287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Comments</w:t>
            </w:r>
          </w:p>
        </w:tc>
      </w:tr>
      <w:tr w:rsidR="004B4F7A" w:rsidRPr="004B4F7A" w:rsidTr="0053625A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Access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69%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73%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78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Office</w:t>
            </w:r>
            <w:r w:rsidRPr="004B4F7A">
              <w:rPr>
                <w:rFonts w:ascii="Calibri"/>
                <w:spacing w:val="-2"/>
              </w:rPr>
              <w:t xml:space="preserve"> </w:t>
            </w:r>
            <w:r w:rsidRPr="004B4F7A">
              <w:rPr>
                <w:rFonts w:ascii="Calibri"/>
                <w:spacing w:val="-1"/>
              </w:rPr>
              <w:t>Staff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71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77%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5" w:name="Methods_for_successful_achievement_of_me"/>
      <w:bookmarkStart w:id="16" w:name="_bookmark8"/>
      <w:bookmarkEnd w:id="15"/>
      <w:bookmarkEnd w:id="16"/>
    </w:p>
    <w:p w:rsidR="00D612B1" w:rsidRPr="003B5108" w:rsidRDefault="008309C5" w:rsidP="00FE4182">
      <w:pPr>
        <w:pStyle w:val="Heading2"/>
        <w:rPr>
          <w:b w:val="0"/>
          <w:bCs w:val="0"/>
        </w:rPr>
      </w:pPr>
      <w:r w:rsidRPr="003B5108">
        <w:rPr>
          <w:color w:val="4F81BD"/>
          <w:spacing w:val="-1"/>
        </w:rPr>
        <w:t>Methods</w:t>
      </w:r>
      <w:r w:rsidRPr="003B5108">
        <w:rPr>
          <w:color w:val="4F81BD"/>
          <w:spacing w:val="-11"/>
        </w:rPr>
        <w:t xml:space="preserve"> </w:t>
      </w:r>
      <w:r w:rsidRPr="003B5108">
        <w:rPr>
          <w:color w:val="4F81BD"/>
          <w:spacing w:val="-1"/>
        </w:rPr>
        <w:t>for</w:t>
      </w:r>
      <w:r w:rsidRPr="003B5108">
        <w:rPr>
          <w:color w:val="4F81BD"/>
          <w:spacing w:val="-11"/>
        </w:rPr>
        <w:t xml:space="preserve"> </w:t>
      </w:r>
      <w:r w:rsidRPr="003B5108">
        <w:rPr>
          <w:color w:val="4F81BD"/>
          <w:spacing w:val="-1"/>
        </w:rPr>
        <w:t>successful</w:t>
      </w:r>
      <w:r w:rsidRPr="003B5108">
        <w:rPr>
          <w:color w:val="4F81BD"/>
          <w:spacing w:val="-11"/>
        </w:rPr>
        <w:t xml:space="preserve"> </w:t>
      </w:r>
      <w:r w:rsidRPr="003B5108">
        <w:rPr>
          <w:color w:val="4F81BD"/>
        </w:rPr>
        <w:t>achievement</w:t>
      </w:r>
      <w:r w:rsidRPr="003B5108">
        <w:rPr>
          <w:color w:val="4F81BD"/>
          <w:spacing w:val="-10"/>
        </w:rPr>
        <w:t xml:space="preserve"> </w:t>
      </w:r>
      <w:r w:rsidRPr="003B5108">
        <w:rPr>
          <w:color w:val="4F81BD"/>
          <w:spacing w:val="-1"/>
        </w:rPr>
        <w:t>of</w:t>
      </w:r>
      <w:r w:rsidRPr="003B5108">
        <w:rPr>
          <w:color w:val="4F81BD"/>
          <w:spacing w:val="-10"/>
        </w:rPr>
        <w:t xml:space="preserve"> </w:t>
      </w:r>
      <w:r w:rsidRPr="003B5108">
        <w:rPr>
          <w:color w:val="4F81BD"/>
          <w:spacing w:val="-1"/>
        </w:rPr>
        <w:t>measures</w:t>
      </w:r>
      <w:r w:rsidR="0053772D" w:rsidRPr="003B5108">
        <w:rPr>
          <w:color w:val="4F81BD"/>
          <w:spacing w:val="-1"/>
        </w:rPr>
        <w:br/>
      </w:r>
    </w:p>
    <w:p w:rsidR="00D612B1" w:rsidRPr="003B5108" w:rsidRDefault="008309C5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 w:rsidRPr="003B5108">
        <w:rPr>
          <w:spacing w:val="-1"/>
        </w:rPr>
        <w:t>Practices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must</w:t>
      </w:r>
      <w:r w:rsidRPr="003B5108">
        <w:rPr>
          <w:spacing w:val="-3"/>
        </w:rPr>
        <w:t xml:space="preserve"> </w:t>
      </w:r>
      <w:r w:rsidRPr="003B5108">
        <w:t>pass</w:t>
      </w:r>
      <w:r w:rsidRPr="003B5108">
        <w:rPr>
          <w:spacing w:val="-5"/>
        </w:rPr>
        <w:t xml:space="preserve"> </w:t>
      </w:r>
      <w:r w:rsidRPr="003B5108">
        <w:t>the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“gate”</w:t>
      </w:r>
      <w:r w:rsidRPr="003B5108">
        <w:rPr>
          <w:spacing w:val="-4"/>
        </w:rPr>
        <w:t xml:space="preserve"> </w:t>
      </w:r>
      <w:r w:rsidRPr="003B5108">
        <w:t>using</w:t>
      </w:r>
      <w:r w:rsidRPr="003B5108">
        <w:rPr>
          <w:spacing w:val="-5"/>
        </w:rPr>
        <w:t xml:space="preserve"> </w:t>
      </w:r>
      <w:r w:rsidRPr="003B5108">
        <w:rPr>
          <w:spacing w:val="-1"/>
        </w:rPr>
        <w:t>the measure</w:t>
      </w:r>
      <w:r w:rsidRPr="003B5108">
        <w:rPr>
          <w:spacing w:val="-6"/>
        </w:rPr>
        <w:t xml:space="preserve"> </w:t>
      </w:r>
      <w:r w:rsidRPr="003B5108">
        <w:t>of</w:t>
      </w:r>
      <w:r w:rsidRPr="003B5108">
        <w:rPr>
          <w:spacing w:val="-1"/>
        </w:rPr>
        <w:t xml:space="preserve"> </w:t>
      </w:r>
      <w:r w:rsidRPr="003B5108">
        <w:rPr>
          <w:rFonts w:cs="Calibri"/>
          <w:i/>
          <w:spacing w:val="-1"/>
        </w:rPr>
        <w:t>Access</w:t>
      </w:r>
      <w:r w:rsidR="00FE4182" w:rsidRPr="003B5108">
        <w:rPr>
          <w:spacing w:val="-1"/>
        </w:rPr>
        <w:t xml:space="preserve"> and </w:t>
      </w:r>
      <w:r w:rsidR="00753CFE" w:rsidRPr="003B5108">
        <w:rPr>
          <w:spacing w:val="-1"/>
        </w:rPr>
        <w:t>there are two methods for achieving the CAHPS metric.</w:t>
      </w:r>
    </w:p>
    <w:p w:rsidR="00D612B1" w:rsidRPr="003B5108" w:rsidRDefault="008309C5" w:rsidP="00FE4182">
      <w:pPr>
        <w:numPr>
          <w:ilvl w:val="1"/>
          <w:numId w:val="2"/>
        </w:numPr>
        <w:tabs>
          <w:tab w:val="left" w:pos="2260"/>
        </w:tabs>
        <w:spacing w:before="39" w:line="276" w:lineRule="auto"/>
        <w:ind w:right="604"/>
        <w:rPr>
          <w:rFonts w:ascii="Calibri" w:eastAsia="Calibri" w:hAnsi="Calibri" w:cs="Calibri"/>
          <w:sz w:val="24"/>
          <w:szCs w:val="24"/>
        </w:rPr>
      </w:pPr>
      <w:r w:rsidRPr="003B5108">
        <w:rPr>
          <w:rFonts w:ascii="Calibri"/>
          <w:sz w:val="24"/>
        </w:rPr>
        <w:t>Method</w:t>
      </w:r>
      <w:r w:rsidRPr="003B5108">
        <w:rPr>
          <w:rFonts w:ascii="Calibri"/>
          <w:spacing w:val="-4"/>
          <w:sz w:val="24"/>
        </w:rPr>
        <w:t xml:space="preserve"> </w:t>
      </w:r>
      <w:r w:rsidRPr="003B5108">
        <w:rPr>
          <w:rFonts w:ascii="Calibri"/>
          <w:sz w:val="24"/>
        </w:rPr>
        <w:t>1:</w:t>
      </w:r>
      <w:r w:rsidRPr="003B5108">
        <w:rPr>
          <w:rFonts w:ascii="Calibri"/>
          <w:spacing w:val="49"/>
          <w:sz w:val="24"/>
        </w:rPr>
        <w:t xml:space="preserve"> </w:t>
      </w:r>
      <w:r w:rsidRPr="003B5108">
        <w:rPr>
          <w:rFonts w:ascii="Calibri"/>
          <w:sz w:val="24"/>
        </w:rPr>
        <w:t>A</w:t>
      </w:r>
      <w:r w:rsidRPr="003B5108">
        <w:rPr>
          <w:rFonts w:ascii="Calibri"/>
          <w:spacing w:val="-4"/>
          <w:sz w:val="24"/>
        </w:rPr>
        <w:t xml:space="preserve"> </w:t>
      </w:r>
      <w:r w:rsidRPr="003B5108">
        <w:rPr>
          <w:rFonts w:ascii="Calibri"/>
          <w:spacing w:val="-1"/>
          <w:sz w:val="24"/>
        </w:rPr>
        <w:t>practice</w:t>
      </w:r>
      <w:r w:rsidRPr="003B5108">
        <w:rPr>
          <w:rFonts w:ascii="Calibri"/>
          <w:spacing w:val="-2"/>
          <w:sz w:val="24"/>
        </w:rPr>
        <w:t xml:space="preserve"> </w:t>
      </w:r>
      <w:r w:rsidRPr="003B5108">
        <w:rPr>
          <w:rFonts w:ascii="Calibri"/>
          <w:spacing w:val="-1"/>
          <w:sz w:val="24"/>
        </w:rPr>
        <w:t>meets</w:t>
      </w:r>
      <w:r w:rsidRPr="003B5108">
        <w:rPr>
          <w:rFonts w:ascii="Calibri"/>
          <w:spacing w:val="-4"/>
          <w:sz w:val="24"/>
        </w:rPr>
        <w:t xml:space="preserve"> </w:t>
      </w:r>
      <w:r w:rsidRPr="003B5108">
        <w:rPr>
          <w:rFonts w:ascii="Calibri"/>
          <w:sz w:val="24"/>
        </w:rPr>
        <w:t>or</w:t>
      </w:r>
      <w:r w:rsidRPr="003B5108">
        <w:rPr>
          <w:rFonts w:ascii="Calibri"/>
          <w:spacing w:val="-2"/>
          <w:sz w:val="24"/>
        </w:rPr>
        <w:t xml:space="preserve"> </w:t>
      </w:r>
      <w:r w:rsidRPr="003B5108">
        <w:rPr>
          <w:rFonts w:ascii="Calibri"/>
          <w:spacing w:val="-1"/>
          <w:sz w:val="24"/>
        </w:rPr>
        <w:t>exceeds</w:t>
      </w:r>
      <w:r w:rsidRPr="003B5108">
        <w:rPr>
          <w:rFonts w:ascii="Calibri"/>
          <w:spacing w:val="-2"/>
          <w:sz w:val="24"/>
        </w:rPr>
        <w:t xml:space="preserve"> </w:t>
      </w:r>
      <w:r w:rsidRPr="003B5108">
        <w:rPr>
          <w:rFonts w:ascii="Calibri"/>
          <w:spacing w:val="-1"/>
          <w:sz w:val="24"/>
        </w:rPr>
        <w:t>the</w:t>
      </w:r>
      <w:r w:rsidRPr="003B5108">
        <w:rPr>
          <w:rFonts w:ascii="Calibri"/>
          <w:spacing w:val="-4"/>
          <w:sz w:val="24"/>
        </w:rPr>
        <w:t xml:space="preserve"> </w:t>
      </w:r>
      <w:r w:rsidRPr="003B5108">
        <w:rPr>
          <w:rFonts w:ascii="Calibri"/>
          <w:spacing w:val="-1"/>
          <w:sz w:val="24"/>
        </w:rPr>
        <w:t>threshold</w:t>
      </w:r>
      <w:r w:rsidRPr="003B5108">
        <w:rPr>
          <w:rFonts w:ascii="Calibri"/>
          <w:spacing w:val="-3"/>
          <w:sz w:val="24"/>
        </w:rPr>
        <w:t xml:space="preserve"> </w:t>
      </w:r>
      <w:r w:rsidRPr="003B5108">
        <w:rPr>
          <w:rFonts w:ascii="Calibri"/>
          <w:sz w:val="24"/>
        </w:rPr>
        <w:t>for</w:t>
      </w:r>
      <w:r w:rsidRPr="003B5108">
        <w:rPr>
          <w:rFonts w:ascii="Calibri"/>
          <w:spacing w:val="-5"/>
          <w:sz w:val="24"/>
        </w:rPr>
        <w:t xml:space="preserve"> </w:t>
      </w:r>
      <w:r w:rsidRPr="003B5108">
        <w:rPr>
          <w:rFonts w:ascii="Calibri"/>
          <w:i/>
          <w:spacing w:val="-1"/>
          <w:sz w:val="24"/>
        </w:rPr>
        <w:t>Access</w:t>
      </w:r>
      <w:r w:rsidRPr="003B5108">
        <w:rPr>
          <w:rFonts w:ascii="Calibri"/>
          <w:i/>
          <w:spacing w:val="-4"/>
          <w:sz w:val="24"/>
        </w:rPr>
        <w:t xml:space="preserve"> </w:t>
      </w:r>
      <w:r w:rsidRPr="003B5108">
        <w:rPr>
          <w:rFonts w:ascii="Calibri"/>
          <w:spacing w:val="-2"/>
          <w:sz w:val="24"/>
        </w:rPr>
        <w:t>and</w:t>
      </w:r>
      <w:r w:rsidRPr="003B5108">
        <w:rPr>
          <w:rFonts w:ascii="Calibri"/>
          <w:spacing w:val="53"/>
          <w:sz w:val="24"/>
        </w:rPr>
        <w:t xml:space="preserve"> </w:t>
      </w:r>
      <w:r w:rsidRPr="003B5108">
        <w:rPr>
          <w:rFonts w:ascii="Calibri"/>
          <w:spacing w:val="-1"/>
          <w:sz w:val="24"/>
        </w:rPr>
        <w:t>meets/exceeds</w:t>
      </w:r>
      <w:r w:rsidRPr="003B5108">
        <w:rPr>
          <w:rFonts w:ascii="Calibri"/>
          <w:spacing w:val="-5"/>
          <w:sz w:val="24"/>
        </w:rPr>
        <w:t xml:space="preserve"> </w:t>
      </w:r>
      <w:r w:rsidRPr="003B5108">
        <w:rPr>
          <w:rFonts w:ascii="Calibri"/>
          <w:sz w:val="24"/>
        </w:rPr>
        <w:t>the</w:t>
      </w:r>
      <w:r w:rsidRPr="003B5108">
        <w:rPr>
          <w:rFonts w:ascii="Calibri"/>
          <w:spacing w:val="-3"/>
          <w:sz w:val="24"/>
        </w:rPr>
        <w:t xml:space="preserve"> </w:t>
      </w:r>
      <w:r w:rsidRPr="003B5108">
        <w:rPr>
          <w:rFonts w:ascii="Calibri"/>
          <w:spacing w:val="-1"/>
          <w:sz w:val="24"/>
        </w:rPr>
        <w:t>threshold</w:t>
      </w:r>
      <w:r w:rsidRPr="003B5108">
        <w:rPr>
          <w:rFonts w:ascii="Calibri"/>
          <w:spacing w:val="-4"/>
          <w:sz w:val="24"/>
        </w:rPr>
        <w:t xml:space="preserve"> </w:t>
      </w:r>
      <w:r w:rsidRPr="003B5108">
        <w:rPr>
          <w:rFonts w:ascii="Calibri"/>
          <w:sz w:val="24"/>
        </w:rPr>
        <w:t>for</w:t>
      </w:r>
      <w:r w:rsidRPr="003B5108">
        <w:rPr>
          <w:rFonts w:ascii="Calibri"/>
          <w:spacing w:val="-4"/>
          <w:sz w:val="24"/>
        </w:rPr>
        <w:t xml:space="preserve"> </w:t>
      </w:r>
      <w:r w:rsidRPr="003B5108">
        <w:rPr>
          <w:rFonts w:ascii="Calibri"/>
          <w:i/>
          <w:spacing w:val="-1"/>
          <w:sz w:val="24"/>
        </w:rPr>
        <w:t>Office</w:t>
      </w:r>
      <w:r w:rsidRPr="003B5108">
        <w:rPr>
          <w:rFonts w:ascii="Calibri"/>
          <w:i/>
          <w:spacing w:val="-2"/>
          <w:sz w:val="24"/>
        </w:rPr>
        <w:t xml:space="preserve"> </w:t>
      </w:r>
      <w:r w:rsidRPr="003B5108">
        <w:rPr>
          <w:rFonts w:ascii="Calibri"/>
          <w:i/>
          <w:spacing w:val="-1"/>
          <w:sz w:val="24"/>
        </w:rPr>
        <w:t>Staff</w:t>
      </w:r>
      <w:r w:rsidRPr="003B5108">
        <w:rPr>
          <w:rFonts w:ascii="Calibri"/>
          <w:i/>
          <w:spacing w:val="-3"/>
          <w:sz w:val="24"/>
        </w:rPr>
        <w:t xml:space="preserve"> </w:t>
      </w:r>
      <w:r w:rsidRPr="003B5108">
        <w:rPr>
          <w:rFonts w:ascii="Calibri"/>
          <w:sz w:val="24"/>
        </w:rPr>
        <w:t>or</w:t>
      </w:r>
      <w:r w:rsidRPr="003B5108">
        <w:rPr>
          <w:rFonts w:ascii="Calibri"/>
          <w:spacing w:val="-1"/>
          <w:sz w:val="24"/>
        </w:rPr>
        <w:t xml:space="preserve"> </w:t>
      </w:r>
      <w:r w:rsidRPr="003B5108">
        <w:rPr>
          <w:rFonts w:ascii="Calibri"/>
          <w:i/>
          <w:spacing w:val="-1"/>
          <w:sz w:val="24"/>
        </w:rPr>
        <w:t>Communication</w:t>
      </w:r>
      <w:r w:rsidR="00FE4182" w:rsidRPr="003B5108">
        <w:rPr>
          <w:rFonts w:ascii="Calibri"/>
          <w:i/>
          <w:spacing w:val="-1"/>
          <w:sz w:val="24"/>
        </w:rPr>
        <w:t>.</w:t>
      </w:r>
      <w:r w:rsidRPr="003B5108">
        <w:rPr>
          <w:rFonts w:ascii="Calibri"/>
          <w:i/>
          <w:spacing w:val="63"/>
          <w:sz w:val="24"/>
        </w:rPr>
        <w:t xml:space="preserve"> </w:t>
      </w:r>
    </w:p>
    <w:p w:rsidR="00D612B1" w:rsidRPr="003B5108" w:rsidRDefault="008309C5" w:rsidP="00FE4182">
      <w:pPr>
        <w:pStyle w:val="BodyText"/>
        <w:numPr>
          <w:ilvl w:val="1"/>
          <w:numId w:val="2"/>
        </w:numPr>
        <w:tabs>
          <w:tab w:val="left" w:pos="2260"/>
        </w:tabs>
        <w:spacing w:line="276" w:lineRule="auto"/>
        <w:ind w:right="144"/>
        <w:rPr>
          <w:rFonts w:cs="Calibri"/>
        </w:rPr>
      </w:pPr>
      <w:r w:rsidRPr="003B5108">
        <w:t>Method</w:t>
      </w:r>
      <w:r w:rsidRPr="003B5108">
        <w:rPr>
          <w:spacing w:val="-4"/>
        </w:rPr>
        <w:t xml:space="preserve"> </w:t>
      </w:r>
      <w:r w:rsidRPr="003B5108">
        <w:t>2:</w:t>
      </w:r>
      <w:r w:rsidRPr="003B5108">
        <w:rPr>
          <w:spacing w:val="49"/>
        </w:rPr>
        <w:t xml:space="preserve"> </w:t>
      </w:r>
      <w:r w:rsidRPr="003B5108">
        <w:t>A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practice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does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not meet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the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threshold</w:t>
      </w:r>
      <w:r w:rsidRPr="003B5108">
        <w:t xml:space="preserve"> </w:t>
      </w:r>
      <w:r w:rsidRPr="003B5108">
        <w:rPr>
          <w:spacing w:val="-1"/>
        </w:rPr>
        <w:t>but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improves</w:t>
      </w:r>
      <w:r w:rsidRPr="003B5108">
        <w:rPr>
          <w:spacing w:val="-4"/>
        </w:rPr>
        <w:t xml:space="preserve"> </w:t>
      </w:r>
      <w:r w:rsidR="00CD0970" w:rsidRPr="003B5108">
        <w:t>its</w:t>
      </w:r>
      <w:r w:rsidR="0053772D" w:rsidRPr="003B5108">
        <w:rPr>
          <w:spacing w:val="51"/>
        </w:rPr>
        <w:t xml:space="preserve"> </w:t>
      </w:r>
      <w:r w:rsidRPr="003B5108">
        <w:rPr>
          <w:rFonts w:cs="Calibri"/>
          <w:i/>
        </w:rPr>
        <w:t>Access</w:t>
      </w:r>
      <w:r w:rsidRPr="003B5108">
        <w:rPr>
          <w:rFonts w:cs="Calibri"/>
          <w:i/>
          <w:spacing w:val="-6"/>
        </w:rPr>
        <w:t xml:space="preserve"> </w:t>
      </w:r>
      <w:r w:rsidRPr="003B5108">
        <w:rPr>
          <w:spacing w:val="-1"/>
        </w:rPr>
        <w:t>score</w:t>
      </w:r>
      <w:r w:rsidRPr="003B5108">
        <w:rPr>
          <w:spacing w:val="-5"/>
        </w:rPr>
        <w:t xml:space="preserve"> </w:t>
      </w:r>
      <w:r w:rsidRPr="003B5108">
        <w:t>by</w:t>
      </w:r>
      <w:r w:rsidRPr="003B5108">
        <w:rPr>
          <w:spacing w:val="-3"/>
        </w:rPr>
        <w:t xml:space="preserve"> </w:t>
      </w:r>
      <w:r w:rsidR="00DD5C3C" w:rsidRPr="003B5108">
        <w:rPr>
          <w:spacing w:val="-1"/>
        </w:rPr>
        <w:t>2.5 %</w:t>
      </w:r>
      <w:r w:rsidRPr="003B5108">
        <w:rPr>
          <w:spacing w:val="-7"/>
        </w:rPr>
        <w:t xml:space="preserve"> </w:t>
      </w:r>
      <w:r w:rsidRPr="003B5108">
        <w:rPr>
          <w:spacing w:val="-1"/>
        </w:rPr>
        <w:t>from</w:t>
      </w:r>
      <w:r w:rsidRPr="003B5108">
        <w:rPr>
          <w:spacing w:val="-2"/>
        </w:rPr>
        <w:t xml:space="preserve"> </w:t>
      </w:r>
      <w:r w:rsidR="00CD0970" w:rsidRPr="003B5108">
        <w:rPr>
          <w:spacing w:val="-1"/>
        </w:rPr>
        <w:t>the</w:t>
      </w:r>
      <w:r w:rsidRPr="003B5108">
        <w:rPr>
          <w:spacing w:val="-5"/>
        </w:rPr>
        <w:t xml:space="preserve"> </w:t>
      </w:r>
      <w:r w:rsidRPr="003B5108">
        <w:t>prior</w:t>
      </w:r>
      <w:r w:rsidRPr="003B5108">
        <w:rPr>
          <w:spacing w:val="-5"/>
        </w:rPr>
        <w:t xml:space="preserve"> </w:t>
      </w:r>
      <w:r w:rsidRPr="003B5108">
        <w:rPr>
          <w:spacing w:val="-1"/>
        </w:rPr>
        <w:t>year’s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score</w:t>
      </w:r>
      <w:r w:rsidRPr="003B5108">
        <w:rPr>
          <w:spacing w:val="-5"/>
        </w:rPr>
        <w:t xml:space="preserve"> </w:t>
      </w:r>
      <w:r w:rsidRPr="003B5108">
        <w:t>and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meets/exceeds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the</w:t>
      </w:r>
      <w:r w:rsidRPr="003B5108">
        <w:rPr>
          <w:spacing w:val="69"/>
          <w:w w:val="99"/>
        </w:rPr>
        <w:t xml:space="preserve"> </w:t>
      </w:r>
      <w:r w:rsidRPr="003B5108">
        <w:t>thresholds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 xml:space="preserve">for </w:t>
      </w:r>
      <w:r w:rsidRPr="003B5108">
        <w:rPr>
          <w:spacing w:val="-1"/>
          <w:u w:val="single" w:color="000000"/>
        </w:rPr>
        <w:t>both</w:t>
      </w:r>
      <w:r w:rsidRPr="003B5108">
        <w:rPr>
          <w:spacing w:val="1"/>
          <w:u w:val="single" w:color="000000"/>
        </w:rPr>
        <w:t xml:space="preserve"> </w:t>
      </w:r>
      <w:r w:rsidRPr="003B5108">
        <w:rPr>
          <w:rFonts w:cs="Calibri"/>
          <w:i/>
          <w:spacing w:val="-1"/>
        </w:rPr>
        <w:t>Office</w:t>
      </w:r>
      <w:r w:rsidRPr="003B5108">
        <w:rPr>
          <w:rFonts w:cs="Calibri"/>
          <w:i/>
        </w:rPr>
        <w:t xml:space="preserve"> Staff</w:t>
      </w:r>
      <w:r w:rsidRPr="003B5108">
        <w:rPr>
          <w:rFonts w:cs="Calibri"/>
          <w:i/>
          <w:spacing w:val="-3"/>
        </w:rPr>
        <w:t xml:space="preserve"> </w:t>
      </w:r>
      <w:r w:rsidRPr="003B5108">
        <w:rPr>
          <w:spacing w:val="-1"/>
        </w:rPr>
        <w:t>and</w:t>
      </w:r>
      <w:r w:rsidRPr="003B5108">
        <w:t xml:space="preserve"> </w:t>
      </w:r>
      <w:r w:rsidRPr="003B5108">
        <w:rPr>
          <w:rFonts w:cs="Calibri"/>
          <w:i/>
          <w:spacing w:val="-1"/>
        </w:rPr>
        <w:t>Communication</w:t>
      </w:r>
      <w:r w:rsidR="00FE4182" w:rsidRPr="003B5108">
        <w:rPr>
          <w:rFonts w:cs="Calibri"/>
          <w:i/>
          <w:spacing w:val="-1"/>
        </w:rPr>
        <w:t>.</w:t>
      </w:r>
      <w:r w:rsidRPr="003B5108">
        <w:rPr>
          <w:rFonts w:cs="Calibri"/>
          <w:i/>
          <w:spacing w:val="-2"/>
        </w:rPr>
        <w:t xml:space="preserve"> </w:t>
      </w:r>
    </w:p>
    <w:p w:rsidR="00C1167C" w:rsidRPr="003B5108" w:rsidRDefault="00C1167C" w:rsidP="00FE4182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753CFE" w:rsidRPr="003B5108" w:rsidRDefault="00753CFE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 w:rsidRPr="003B5108">
        <w:rPr>
          <w:spacing w:val="-1"/>
        </w:rPr>
        <w:t>For measures other than Access,</w:t>
      </w:r>
      <w:r w:rsidR="0053772D" w:rsidRPr="003B5108">
        <w:rPr>
          <w:spacing w:val="-1"/>
        </w:rPr>
        <w:t xml:space="preserve"> i.e., Communication and Office Staff, </w:t>
      </w:r>
      <w:r w:rsidRPr="003B5108">
        <w:rPr>
          <w:spacing w:val="-1"/>
        </w:rPr>
        <w:t>if the difference between</w:t>
      </w:r>
      <w:r w:rsidR="006F13D5" w:rsidRPr="003B5108">
        <w:rPr>
          <w:spacing w:val="-1"/>
        </w:rPr>
        <w:t xml:space="preserve"> 2019 baseline to 2019-2020</w:t>
      </w:r>
      <w:r w:rsidRPr="003B5108">
        <w:rPr>
          <w:spacing w:val="-1"/>
        </w:rPr>
        <w:t xml:space="preserve"> threshold for a practice is 5% points or greater, then </w:t>
      </w:r>
      <w:r w:rsidR="00FE4182" w:rsidRPr="003B5108">
        <w:rPr>
          <w:spacing w:val="-1"/>
        </w:rPr>
        <w:t>a</w:t>
      </w:r>
      <w:r w:rsidRPr="003B5108">
        <w:rPr>
          <w:spacing w:val="-1"/>
        </w:rPr>
        <w:t xml:space="preserve"> practice can succeed if the improvement achieved is at least half the distance between the </w:t>
      </w:r>
      <w:r w:rsidR="0053772D" w:rsidRPr="003B5108">
        <w:rPr>
          <w:spacing w:val="-1"/>
        </w:rPr>
        <w:t>baseline</w:t>
      </w:r>
      <w:r w:rsidRPr="003B5108">
        <w:rPr>
          <w:spacing w:val="-1"/>
        </w:rPr>
        <w:t xml:space="preserve"> result and </w:t>
      </w:r>
      <w:r w:rsidR="006F13D5" w:rsidRPr="003B5108">
        <w:rPr>
          <w:spacing w:val="-1"/>
        </w:rPr>
        <w:t>the 2019</w:t>
      </w:r>
      <w:r w:rsidRPr="003B5108">
        <w:rPr>
          <w:spacing w:val="-1"/>
        </w:rPr>
        <w:t xml:space="preserve"> threshold, i.e., at least a </w:t>
      </w:r>
      <w:r w:rsidR="00CB3EB8" w:rsidRPr="003B5108">
        <w:rPr>
          <w:spacing w:val="-1"/>
        </w:rPr>
        <w:t>2.5%-point</w:t>
      </w:r>
      <w:r w:rsidRPr="003B5108">
        <w:rPr>
          <w:spacing w:val="-1"/>
        </w:rPr>
        <w:t xml:space="preserve"> improvement.</w:t>
      </w:r>
      <w:r w:rsidRPr="003B5108">
        <w:rPr>
          <w:spacing w:val="47"/>
        </w:rPr>
        <w:t xml:space="preserve"> </w:t>
      </w:r>
      <w:r w:rsidRPr="003B5108">
        <w:rPr>
          <w:spacing w:val="-1"/>
        </w:rPr>
        <w:t>If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there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was</w:t>
      </w:r>
      <w:r w:rsidRPr="003B5108">
        <w:rPr>
          <w:spacing w:val="-3"/>
        </w:rPr>
        <w:t xml:space="preserve"> </w:t>
      </w:r>
      <w:r w:rsidRPr="003B5108">
        <w:t>no</w:t>
      </w:r>
      <w:r w:rsidRPr="003B5108">
        <w:rPr>
          <w:spacing w:val="-3"/>
        </w:rPr>
        <w:t xml:space="preserve"> </w:t>
      </w:r>
      <w:r w:rsidR="006F13D5" w:rsidRPr="003B5108">
        <w:rPr>
          <w:spacing w:val="-1"/>
        </w:rPr>
        <w:t>2019</w:t>
      </w:r>
      <w:r w:rsidRPr="003B5108">
        <w:rPr>
          <w:spacing w:val="79"/>
          <w:w w:val="99"/>
        </w:rPr>
        <w:t xml:space="preserve"> </w:t>
      </w:r>
      <w:r w:rsidR="001C1429" w:rsidRPr="003B5108">
        <w:rPr>
          <w:spacing w:val="-1"/>
        </w:rPr>
        <w:t>measurement,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then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the</w:t>
      </w:r>
      <w:r w:rsidRPr="003B5108">
        <w:rPr>
          <w:spacing w:val="-5"/>
        </w:rPr>
        <w:t xml:space="preserve"> </w:t>
      </w:r>
      <w:r w:rsidRPr="003B5108">
        <w:rPr>
          <w:spacing w:val="-1"/>
        </w:rPr>
        <w:lastRenderedPageBreak/>
        <w:t>threshold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must</w:t>
      </w:r>
      <w:r w:rsidRPr="003B5108">
        <w:rPr>
          <w:spacing w:val="-5"/>
        </w:rPr>
        <w:t xml:space="preserve"> </w:t>
      </w:r>
      <w:r w:rsidRPr="003B5108">
        <w:t>be</w:t>
      </w:r>
      <w:r w:rsidRPr="003B5108">
        <w:rPr>
          <w:spacing w:val="-5"/>
        </w:rPr>
        <w:t xml:space="preserve"> </w:t>
      </w:r>
      <w:r w:rsidRPr="003B5108">
        <w:rPr>
          <w:spacing w:val="-1"/>
        </w:rPr>
        <w:t>attained.</w:t>
      </w:r>
    </w:p>
    <w:p w:rsidR="006F13D5" w:rsidRPr="003B5108" w:rsidRDefault="00722C33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 w:rsidRPr="003B5108">
        <w:rPr>
          <w:spacing w:val="-1"/>
        </w:rPr>
        <w:t>CAHP survey results will be considered as “valid” provided there is a m</w:t>
      </w:r>
      <w:r w:rsidR="006F13D5" w:rsidRPr="003B5108">
        <w:rPr>
          <w:spacing w:val="-1"/>
        </w:rPr>
        <w:t>inimum number of usable</w:t>
      </w:r>
      <w:r w:rsidRPr="003B5108">
        <w:rPr>
          <w:spacing w:val="-1"/>
        </w:rPr>
        <w:t xml:space="preserve"> CAHPS responses per practice site equal to or greater than </w:t>
      </w:r>
      <w:r w:rsidR="006F13D5" w:rsidRPr="003B5108">
        <w:rPr>
          <w:spacing w:val="-1"/>
        </w:rPr>
        <w:t xml:space="preserve">20; </w:t>
      </w:r>
      <w:r w:rsidR="001C03C5" w:rsidRPr="003B5108">
        <w:rPr>
          <w:spacing w:val="-1"/>
        </w:rPr>
        <w:t xml:space="preserve">practice will be considered as obtaining “auto-credit” if CAHPS survey process does not yield at least 20 usable survey responses. </w:t>
      </w:r>
    </w:p>
    <w:p w:rsidR="00D612B1" w:rsidRPr="003B5108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AD5665" w:rsidRDefault="00AD5665" w:rsidP="00AD5665">
      <w:pPr>
        <w:widowControl/>
        <w:jc w:val="both"/>
        <w:rPr>
          <w:sz w:val="24"/>
          <w:szCs w:val="24"/>
        </w:rPr>
      </w:pPr>
      <w:r w:rsidRPr="003B5108">
        <w:rPr>
          <w:sz w:val="24"/>
          <w:szCs w:val="24"/>
        </w:rPr>
        <w:t>Reporting values</w:t>
      </w:r>
      <w:r w:rsidRPr="00AD5665">
        <w:rPr>
          <w:sz w:val="24"/>
          <w:szCs w:val="24"/>
        </w:rPr>
        <w:t xml:space="preserve"> will be rounded to the nearest tenth of a digit for measurement purposes related to the Targets.</w:t>
      </w:r>
    </w:p>
    <w:p w:rsidR="00431262" w:rsidRDefault="00431262" w:rsidP="00AD5665">
      <w:pPr>
        <w:widowControl/>
        <w:jc w:val="both"/>
        <w:rPr>
          <w:sz w:val="24"/>
          <w:szCs w:val="24"/>
        </w:rPr>
      </w:pPr>
    </w:p>
    <w:p w:rsidR="00431262" w:rsidRPr="00A87902" w:rsidRDefault="00722C33" w:rsidP="00A87902">
      <w:pPr>
        <w:pStyle w:val="Heading1"/>
        <w:ind w:left="1035"/>
        <w:rPr>
          <w:b w:val="0"/>
          <w:bCs w:val="0"/>
          <w:color w:val="1F497D" w:themeColor="text2"/>
          <w:u w:val="none"/>
        </w:rPr>
      </w:pPr>
      <w:bookmarkStart w:id="17" w:name="_Toc491263101"/>
      <w:r>
        <w:rPr>
          <w:rFonts w:asciiTheme="majorHAnsi" w:eastAsia="Calibri" w:hAnsiTheme="majorHAnsi"/>
          <w:bCs w:val="0"/>
          <w:color w:val="1F497D" w:themeColor="text2"/>
          <w:spacing w:val="-1"/>
        </w:rPr>
        <w:t>2019-2020</w:t>
      </w:r>
      <w:r w:rsidR="00431262" w:rsidRPr="00431262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431262" w:rsidRPr="00431262">
        <w:rPr>
          <w:color w:val="1F497D" w:themeColor="text2"/>
          <w:spacing w:val="-1"/>
        </w:rPr>
        <w:t>Utilization</w:t>
      </w:r>
      <w:r w:rsidR="00431262" w:rsidRPr="00431262">
        <w:rPr>
          <w:color w:val="1F497D" w:themeColor="text2"/>
          <w:spacing w:val="-1"/>
          <w:u w:val="thick" w:color="365F91"/>
        </w:rPr>
        <w:t xml:space="preserve"> Measure: Emergency Department and Inpatient Utilization</w:t>
      </w:r>
      <w:bookmarkEnd w:id="17"/>
    </w:p>
    <w:p w:rsidR="00431262" w:rsidRPr="009B72E4" w:rsidRDefault="00431262" w:rsidP="00431262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</w:t>
      </w:r>
      <w:r w:rsidR="006C7040">
        <w:rPr>
          <w:rFonts w:eastAsiaTheme="majorEastAsia" w:cstheme="majorBidi"/>
          <w:sz w:val="24"/>
          <w:szCs w:val="24"/>
        </w:rPr>
        <w:t xml:space="preserve">ms Data Base (APCD) three times a </w:t>
      </w:r>
      <w:r w:rsidR="00F81132">
        <w:rPr>
          <w:rFonts w:eastAsiaTheme="majorEastAsia" w:cstheme="majorBidi"/>
          <w:sz w:val="24"/>
          <w:szCs w:val="24"/>
        </w:rPr>
        <w:t xml:space="preserve">year </w:t>
      </w:r>
      <w:r w:rsidR="00F81132" w:rsidRPr="009B72E4">
        <w:rPr>
          <w:rFonts w:eastAsiaTheme="majorEastAsia" w:cstheme="majorBidi"/>
          <w:sz w:val="24"/>
          <w:szCs w:val="24"/>
        </w:rPr>
        <w:t>representing</w:t>
      </w:r>
      <w:r w:rsidRPr="009B72E4">
        <w:rPr>
          <w:rFonts w:eastAsiaTheme="majorEastAsia" w:cstheme="majorBidi"/>
          <w:sz w:val="24"/>
          <w:szCs w:val="24"/>
        </w:rPr>
        <w:t xml:space="preserve"> a rolling 12 months of data.</w:t>
      </w:r>
      <w:r w:rsidR="00F81132">
        <w:rPr>
          <w:rFonts w:eastAsiaTheme="majorEastAsia" w:cstheme="majorBidi"/>
          <w:sz w:val="24"/>
          <w:szCs w:val="24"/>
        </w:rPr>
        <w:t xml:space="preserve"> Utilization data from June 2017 is used for contract adjudication. </w:t>
      </w:r>
    </w:p>
    <w:p w:rsidR="00431262" w:rsidRPr="005B28A1" w:rsidRDefault="00431262" w:rsidP="00431262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Targets for practices in performance years</w:t>
      </w:r>
      <w:r w:rsidR="00F81132">
        <w:rPr>
          <w:rFonts w:eastAsiaTheme="majorEastAsia" w:cstheme="majorBidi"/>
          <w:sz w:val="24"/>
          <w:szCs w:val="24"/>
        </w:rPr>
        <w:t xml:space="preserve"> assigned to a </w:t>
      </w:r>
      <w:r w:rsidR="001C1429">
        <w:rPr>
          <w:rFonts w:eastAsiaTheme="majorEastAsia" w:cstheme="majorBidi"/>
          <w:sz w:val="24"/>
          <w:szCs w:val="24"/>
        </w:rPr>
        <w:t>cohort will</w:t>
      </w:r>
      <w:r w:rsidRPr="009B72E4">
        <w:rPr>
          <w:rFonts w:eastAsiaTheme="majorEastAsia" w:cstheme="majorBidi"/>
          <w:sz w:val="24"/>
          <w:szCs w:val="24"/>
        </w:rPr>
        <w:t xml:space="preserve"> be set by the CTC Data and Evaluation Committee based on available data reported from APCD. </w:t>
      </w:r>
      <w:r>
        <w:rPr>
          <w:rFonts w:eastAsiaTheme="majorEastAsia" w:cstheme="majorBidi"/>
          <w:sz w:val="24"/>
          <w:szCs w:val="24"/>
        </w:rPr>
        <w:t xml:space="preserve">Practices will be assigned to a cohort based on the year the practice entered the CTC common contract.  Practices entering CTC in 2017 are assigned to Cohort 5. </w:t>
      </w:r>
    </w:p>
    <w:p w:rsidR="00431262" w:rsidRPr="00A737BA" w:rsidRDefault="00431262" w:rsidP="00CB3EB8">
      <w:pPr>
        <w:widowControl/>
        <w:spacing w:after="200" w:line="252" w:lineRule="auto"/>
        <w:contextualSpacing/>
        <w:rPr>
          <w:rFonts w:asciiTheme="majorHAnsi" w:eastAsiaTheme="majorEastAsia" w:hAnsiTheme="majorHAnsi" w:cstheme="majorBidi"/>
        </w:rPr>
      </w:pPr>
    </w:p>
    <w:p w:rsidR="00431262" w:rsidRPr="00D2798E" w:rsidRDefault="00431262" w:rsidP="00431262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722C33">
        <w:rPr>
          <w:sz w:val="24"/>
        </w:rPr>
        <w:t>2019-2020</w:t>
      </w:r>
      <w:r>
        <w:rPr>
          <w:sz w:val="24"/>
        </w:rPr>
        <w:t xml:space="preserve"> </w:t>
      </w:r>
      <w:r w:rsidRPr="00D2798E">
        <w:rPr>
          <w:sz w:val="24"/>
        </w:rPr>
        <w:t>via the following method:</w:t>
      </w:r>
    </w:p>
    <w:p w:rsidR="00431262" w:rsidRDefault="00431262" w:rsidP="00431262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>
        <w:rPr>
          <w:sz w:val="24"/>
        </w:rPr>
        <w:t xml:space="preserve">:  </w:t>
      </w:r>
      <w:r w:rsidRPr="00D65118">
        <w:rPr>
          <w:sz w:val="24"/>
        </w:rPr>
        <w:t xml:space="preserve"> Practices can successfully meet utilization targets, via the current method of using rolling years to compare the change in trends of CTC practices to a comparison</w:t>
      </w:r>
      <w:r>
        <w:rPr>
          <w:sz w:val="24"/>
        </w:rPr>
        <w:t xml:space="preserve"> of </w:t>
      </w:r>
      <w:r w:rsidRPr="00D65118">
        <w:rPr>
          <w:sz w:val="24"/>
        </w:rPr>
        <w:t>non PCMH group.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</w:t>
      </w:r>
      <w:r>
        <w:rPr>
          <w:sz w:val="24"/>
        </w:rPr>
        <w:t xml:space="preserve">for ED utilization will be </w:t>
      </w:r>
      <w:r w:rsidRPr="00D65118">
        <w:rPr>
          <w:sz w:val="24"/>
        </w:rPr>
        <w:t xml:space="preserve">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>
        <w:rPr>
          <w:sz w:val="24"/>
        </w:rPr>
        <w:t xml:space="preserve">the cohort vs comparison of non-PCMH </w:t>
      </w:r>
      <w:r w:rsidR="001C1429">
        <w:rPr>
          <w:sz w:val="24"/>
        </w:rPr>
        <w:t>practices for</w:t>
      </w:r>
      <w:r w:rsidRPr="00D65118">
        <w:rPr>
          <w:sz w:val="24"/>
        </w:rPr>
        <w:t xml:space="preserve"> year to year trend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>
        <w:rPr>
          <w:sz w:val="24"/>
        </w:rPr>
        <w:t xml:space="preserve">The target for Inpatient utilization will be at a </w:t>
      </w:r>
      <w:r w:rsidRPr="00D529C4">
        <w:rPr>
          <w:b/>
          <w:sz w:val="24"/>
          <w:u w:val="single"/>
        </w:rPr>
        <w:t>5%</w:t>
      </w:r>
      <w:r>
        <w:rPr>
          <w:sz w:val="24"/>
        </w:rPr>
        <w:t xml:space="preserve"> favorable difference using the trend charge in the cohort vs. comparison of non-PCMH practices for year to year trend.  </w:t>
      </w:r>
    </w:p>
    <w:p w:rsidR="00A82841" w:rsidRDefault="00A82841" w:rsidP="00A82841">
      <w:pPr>
        <w:widowControl/>
        <w:spacing w:after="200" w:line="276" w:lineRule="auto"/>
        <w:contextualSpacing/>
        <w:rPr>
          <w:color w:val="1F497D" w:themeColor="text2"/>
          <w:sz w:val="28"/>
          <w:szCs w:val="28"/>
          <w:u w:val="single"/>
        </w:rPr>
      </w:pPr>
      <w:r w:rsidRPr="00A82841">
        <w:rPr>
          <w:color w:val="4F81BD" w:themeColor="accent1"/>
          <w:sz w:val="28"/>
          <w:szCs w:val="28"/>
        </w:rPr>
        <w:t xml:space="preserve">  </w:t>
      </w:r>
      <w:r>
        <w:rPr>
          <w:color w:val="4F81BD" w:themeColor="accent1"/>
          <w:sz w:val="28"/>
          <w:szCs w:val="28"/>
        </w:rPr>
        <w:tab/>
      </w:r>
      <w:r w:rsidRPr="00A82841">
        <w:rPr>
          <w:color w:val="4F81BD" w:themeColor="accent1"/>
          <w:sz w:val="28"/>
          <w:szCs w:val="28"/>
        </w:rPr>
        <w:t xml:space="preserve"> </w:t>
      </w:r>
      <w:r w:rsidRPr="00A82841">
        <w:rPr>
          <w:color w:val="1F497D" w:themeColor="text2"/>
          <w:sz w:val="28"/>
          <w:szCs w:val="28"/>
          <w:u w:val="single"/>
        </w:rPr>
        <w:t>Performance Results</w:t>
      </w:r>
    </w:p>
    <w:p w:rsidR="00A82841" w:rsidRDefault="00A82841" w:rsidP="00A82841">
      <w:pPr>
        <w:pStyle w:val="ListParagraph"/>
        <w:widowControl/>
        <w:numPr>
          <w:ilvl w:val="0"/>
          <w:numId w:val="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 quarterly basis, practices</w:t>
      </w:r>
      <w:r w:rsidR="00CB3EB8">
        <w:rPr>
          <w:sz w:val="24"/>
          <w:szCs w:val="24"/>
        </w:rPr>
        <w:t xml:space="preserve"> are required to submit their clinical performance</w:t>
      </w:r>
      <w:r w:rsidR="00A87902">
        <w:rPr>
          <w:sz w:val="24"/>
          <w:szCs w:val="24"/>
        </w:rPr>
        <w:t xml:space="preserve"> rates</w:t>
      </w:r>
      <w:r w:rsidR="00722C33">
        <w:rPr>
          <w:sz w:val="24"/>
          <w:szCs w:val="24"/>
        </w:rPr>
        <w:t xml:space="preserve"> using the secure</w:t>
      </w:r>
      <w:r w:rsidR="00CB3EB8">
        <w:rPr>
          <w:sz w:val="24"/>
          <w:szCs w:val="24"/>
        </w:rPr>
        <w:t xml:space="preserve"> CTC portal.  CTC discusses the performance results at the Practice Reporting </w:t>
      </w:r>
      <w:r w:rsidR="00722C33">
        <w:rPr>
          <w:sz w:val="24"/>
          <w:szCs w:val="24"/>
        </w:rPr>
        <w:t xml:space="preserve">and Transformation </w:t>
      </w:r>
      <w:r w:rsidR="00CB3EB8">
        <w:rPr>
          <w:sz w:val="24"/>
          <w:szCs w:val="24"/>
        </w:rPr>
        <w:t>Committee Meeting and posts the results via the CTC secure portal on a quarterly basis.  Information on c</w:t>
      </w:r>
      <w:r w:rsidR="00722C33">
        <w:rPr>
          <w:sz w:val="24"/>
          <w:szCs w:val="24"/>
        </w:rPr>
        <w:t>linical measure performance and</w:t>
      </w:r>
      <w:r w:rsidR="00A87902">
        <w:rPr>
          <w:sz w:val="24"/>
          <w:szCs w:val="24"/>
        </w:rPr>
        <w:t xml:space="preserve"> are</w:t>
      </w:r>
      <w:r w:rsidR="00CB3EB8">
        <w:rPr>
          <w:sz w:val="24"/>
          <w:szCs w:val="24"/>
        </w:rPr>
        <w:t xml:space="preserve"> </w:t>
      </w:r>
      <w:r w:rsidR="00A87902">
        <w:rPr>
          <w:sz w:val="24"/>
          <w:szCs w:val="24"/>
        </w:rPr>
        <w:t xml:space="preserve">displayed at a) </w:t>
      </w:r>
      <w:r>
        <w:rPr>
          <w:sz w:val="24"/>
          <w:szCs w:val="24"/>
        </w:rPr>
        <w:t>coho</w:t>
      </w:r>
      <w:r w:rsidR="00A87902">
        <w:rPr>
          <w:sz w:val="24"/>
          <w:szCs w:val="24"/>
        </w:rPr>
        <w:t xml:space="preserve">rt level performance; b) </w:t>
      </w:r>
      <w:r>
        <w:rPr>
          <w:sz w:val="24"/>
          <w:szCs w:val="24"/>
        </w:rPr>
        <w:t>histo</w:t>
      </w:r>
      <w:r w:rsidR="00A87902">
        <w:rPr>
          <w:sz w:val="24"/>
          <w:szCs w:val="24"/>
        </w:rPr>
        <w:t xml:space="preserve">rical performance over time and c) compared to </w:t>
      </w:r>
      <w:r w:rsidR="00722C33">
        <w:rPr>
          <w:sz w:val="24"/>
          <w:szCs w:val="24"/>
        </w:rPr>
        <w:t>CTC incentive threshold; d) compared to OHIC threshold</w:t>
      </w:r>
      <w:r w:rsidR="00A87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B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an annual basis, practices will be </w:t>
      </w:r>
      <w:r>
        <w:rPr>
          <w:sz w:val="24"/>
          <w:szCs w:val="24"/>
        </w:rPr>
        <w:lastRenderedPageBreak/>
        <w:t xml:space="preserve">able to access customer experience performance results </w:t>
      </w:r>
      <w:r w:rsidR="00A87902">
        <w:rPr>
          <w:sz w:val="24"/>
          <w:szCs w:val="24"/>
        </w:rPr>
        <w:t xml:space="preserve">displayed at a) cohort level b) historical performance over time and c) compared to threshold. </w:t>
      </w:r>
      <w:r>
        <w:rPr>
          <w:sz w:val="24"/>
          <w:szCs w:val="24"/>
        </w:rPr>
        <w:t xml:space="preserve"> </w:t>
      </w:r>
    </w:p>
    <w:p w:rsidR="00431262" w:rsidRPr="00A87902" w:rsidRDefault="00CB3EB8" w:rsidP="00FE4182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Payer Claims Data (APCD) utilization performance will be posted on the On-Point portal three times a year. </w:t>
      </w:r>
      <w:r w:rsidR="00A87902">
        <w:rPr>
          <w:sz w:val="24"/>
          <w:szCs w:val="24"/>
        </w:rPr>
        <w:t xml:space="preserve"> Display includes risk and non-risk displays of ED visits/cost, inpatient visits/costs, specialist usage, total cost and pharmacy utilization.  </w:t>
      </w:r>
      <w:bookmarkStart w:id="18" w:name="Other_Policies"/>
      <w:bookmarkStart w:id="19" w:name="_bookmark9"/>
      <w:bookmarkEnd w:id="18"/>
      <w:bookmarkEnd w:id="19"/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Pr="0053772D" w:rsidRDefault="008309C5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  <w:r w:rsidRPr="0053772D"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  <w:t>Other Policies</w:t>
      </w:r>
    </w:p>
    <w:p w:rsidR="00D612B1" w:rsidRPr="0053772D" w:rsidRDefault="00D612B1" w:rsidP="00FE4182">
      <w:pPr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309C5" w:rsidP="00FE4182">
      <w:pPr>
        <w:pStyle w:val="Heading2"/>
        <w:spacing w:before="0"/>
        <w:ind w:left="0"/>
        <w:rPr>
          <w:b w:val="0"/>
          <w:bCs w:val="0"/>
        </w:rPr>
      </w:pPr>
      <w:bookmarkStart w:id="20" w:name="CAHPS_PCMH_Patient_Satisfaction_Survey_P"/>
      <w:bookmarkStart w:id="21" w:name="_bookmark10"/>
      <w:bookmarkEnd w:id="20"/>
      <w:bookmarkEnd w:id="21"/>
      <w:r>
        <w:rPr>
          <w:color w:val="4F81BD"/>
        </w:rPr>
        <w:t>CAHPS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PCMH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Patient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Satisfaction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Survey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Policy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use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alternate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vendors</w:t>
      </w:r>
    </w:p>
    <w:p w:rsidR="00D612B1" w:rsidRDefault="00D612B1" w:rsidP="00FE4182">
      <w:pPr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FE4182">
      <w:pPr>
        <w:pStyle w:val="BodyText"/>
        <w:spacing w:line="276" w:lineRule="auto"/>
        <w:ind w:left="10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FE418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D612B1" w:rsidRPr="003B5108" w:rsidRDefault="0053772D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278"/>
      </w:pPr>
      <w:bookmarkStart w:id="22" w:name="_GoBack"/>
      <w:bookmarkEnd w:id="22"/>
      <w:r w:rsidRPr="003B5108">
        <w:rPr>
          <w:spacing w:val="-1"/>
        </w:rPr>
        <w:t xml:space="preserve">The alternate </w:t>
      </w:r>
      <w:r w:rsidR="008309C5" w:rsidRPr="003B5108">
        <w:rPr>
          <w:spacing w:val="-1"/>
        </w:rPr>
        <w:t>vendor</w:t>
      </w:r>
      <w:r w:rsidR="008309C5" w:rsidRPr="003B5108">
        <w:rPr>
          <w:spacing w:val="-4"/>
        </w:rPr>
        <w:t xml:space="preserve"> </w:t>
      </w:r>
      <w:r w:rsidR="008309C5" w:rsidRPr="003B5108">
        <w:rPr>
          <w:spacing w:val="-1"/>
        </w:rPr>
        <w:t>must</w:t>
      </w:r>
      <w:r w:rsidR="008309C5" w:rsidRPr="003B5108">
        <w:rPr>
          <w:spacing w:val="-4"/>
        </w:rPr>
        <w:t xml:space="preserve"> </w:t>
      </w:r>
      <w:r w:rsidR="008309C5" w:rsidRPr="003B5108">
        <w:t>be</w:t>
      </w:r>
      <w:r w:rsidR="008309C5" w:rsidRPr="003B5108">
        <w:rPr>
          <w:spacing w:val="-3"/>
        </w:rPr>
        <w:t xml:space="preserve"> </w:t>
      </w:r>
      <w:r w:rsidRPr="003B5108">
        <w:rPr>
          <w:spacing w:val="-3"/>
        </w:rPr>
        <w:t xml:space="preserve">recognized by </w:t>
      </w:r>
      <w:r w:rsidRPr="003B5108">
        <w:rPr>
          <w:spacing w:val="-1"/>
        </w:rPr>
        <w:t>NCQA</w:t>
      </w:r>
      <w:r w:rsidR="008309C5" w:rsidRPr="003B5108">
        <w:rPr>
          <w:spacing w:val="-1"/>
        </w:rPr>
        <w:t>.</w:t>
      </w:r>
    </w:p>
    <w:p w:rsidR="00073E33" w:rsidRPr="003B5108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</w:pPr>
      <w:r w:rsidRPr="003B5108">
        <w:t>The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cost of administering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the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survey</w:t>
      </w:r>
      <w:r w:rsidRPr="003B5108">
        <w:rPr>
          <w:spacing w:val="-5"/>
        </w:rPr>
        <w:t xml:space="preserve"> </w:t>
      </w:r>
      <w:r w:rsidRPr="003B5108">
        <w:rPr>
          <w:spacing w:val="-1"/>
        </w:rPr>
        <w:t>will</w:t>
      </w:r>
      <w:r w:rsidRPr="003B5108">
        <w:rPr>
          <w:spacing w:val="-2"/>
        </w:rPr>
        <w:t xml:space="preserve"> </w:t>
      </w:r>
      <w:r w:rsidRPr="003B5108">
        <w:t>be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the responsibility</w:t>
      </w:r>
      <w:r w:rsidRPr="003B5108">
        <w:rPr>
          <w:spacing w:val="-6"/>
        </w:rPr>
        <w:t xml:space="preserve"> </w:t>
      </w:r>
      <w:r w:rsidRPr="003B5108">
        <w:t>of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the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practice.</w:t>
      </w:r>
    </w:p>
    <w:p w:rsidR="00D612B1" w:rsidRPr="003B5108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45"/>
      </w:pPr>
      <w:r w:rsidRPr="003B5108">
        <w:t>A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CAHPS</w:t>
      </w:r>
      <w:r w:rsidRPr="003B5108">
        <w:rPr>
          <w:spacing w:val="-2"/>
        </w:rPr>
        <w:t xml:space="preserve"> </w:t>
      </w:r>
      <w:r w:rsidRPr="003B5108">
        <w:t>PCMH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standard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survey,</w:t>
      </w:r>
      <w:r w:rsidRPr="003B5108">
        <w:rPr>
          <w:spacing w:val="-2"/>
        </w:rPr>
        <w:t xml:space="preserve"> </w:t>
      </w:r>
      <w:r w:rsidRPr="003B5108">
        <w:t>as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defined</w:t>
      </w:r>
      <w:r w:rsidRPr="003B5108">
        <w:rPr>
          <w:spacing w:val="-4"/>
        </w:rPr>
        <w:t xml:space="preserve"> </w:t>
      </w:r>
      <w:r w:rsidRPr="003B5108">
        <w:t>by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NCQA,</w:t>
      </w:r>
      <w:r w:rsidRPr="003B5108">
        <w:rPr>
          <w:spacing w:val="-2"/>
        </w:rPr>
        <w:t xml:space="preserve"> </w:t>
      </w:r>
      <w:r w:rsidRPr="003B5108">
        <w:t>must</w:t>
      </w:r>
      <w:r w:rsidRPr="003B5108">
        <w:rPr>
          <w:spacing w:val="-3"/>
        </w:rPr>
        <w:t xml:space="preserve"> </w:t>
      </w:r>
      <w:r w:rsidRPr="003B5108">
        <w:t>be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used</w:t>
      </w:r>
      <w:r w:rsidR="0053772D" w:rsidRPr="003B5108">
        <w:rPr>
          <w:spacing w:val="-1"/>
        </w:rPr>
        <w:t>.</w:t>
      </w:r>
    </w:p>
    <w:p w:rsidR="00D612B1" w:rsidRPr="003B5108" w:rsidRDefault="008309C5" w:rsidP="00FE4182">
      <w:pPr>
        <w:pStyle w:val="BodyText"/>
        <w:numPr>
          <w:ilvl w:val="1"/>
          <w:numId w:val="1"/>
        </w:numPr>
        <w:tabs>
          <w:tab w:val="left" w:pos="1540"/>
        </w:tabs>
        <w:spacing w:before="43" w:line="275" w:lineRule="auto"/>
        <w:ind w:right="810"/>
      </w:pPr>
      <w:r w:rsidRPr="003B5108">
        <w:t>Mixed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mode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methods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are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required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along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with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NCQA’s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minimum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sampling</w:t>
      </w:r>
      <w:r w:rsidRPr="003B5108">
        <w:rPr>
          <w:spacing w:val="65"/>
          <w:w w:val="99"/>
        </w:rPr>
        <w:t xml:space="preserve"> </w:t>
      </w:r>
      <w:r w:rsidRPr="003B5108">
        <w:t>requirements</w:t>
      </w:r>
    </w:p>
    <w:p w:rsidR="00073E33" w:rsidRPr="003B5108" w:rsidRDefault="00073E33" w:rsidP="00FE4182">
      <w:pPr>
        <w:pStyle w:val="BodyText"/>
        <w:numPr>
          <w:ilvl w:val="1"/>
          <w:numId w:val="1"/>
        </w:numPr>
        <w:shd w:val="clear" w:color="auto" w:fill="FFFF00"/>
        <w:tabs>
          <w:tab w:val="left" w:pos="1540"/>
        </w:tabs>
        <w:spacing w:before="43" w:line="275" w:lineRule="auto"/>
        <w:ind w:right="810"/>
      </w:pPr>
      <w:r w:rsidRPr="003B5108">
        <w:rPr>
          <w:spacing w:val="-1"/>
        </w:rPr>
        <w:t>The alternate vendor must conduct the survey using the same version as CTC.</w:t>
      </w:r>
    </w:p>
    <w:p w:rsidR="00D612B1" w:rsidRPr="003B5108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2" w:line="276" w:lineRule="auto"/>
        <w:ind w:right="144"/>
      </w:pPr>
      <w:r w:rsidRPr="003B5108">
        <w:t>The</w:t>
      </w:r>
      <w:r w:rsidRPr="003B5108">
        <w:rPr>
          <w:spacing w:val="-1"/>
        </w:rPr>
        <w:t xml:space="preserve"> survey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must</w:t>
      </w:r>
      <w:r w:rsidRPr="003B5108">
        <w:rPr>
          <w:spacing w:val="-2"/>
        </w:rPr>
        <w:t xml:space="preserve"> </w:t>
      </w:r>
      <w:r w:rsidRPr="003B5108">
        <w:t>be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administered</w:t>
      </w:r>
      <w:r w:rsidRPr="003B5108">
        <w:t xml:space="preserve"> </w:t>
      </w:r>
      <w:r w:rsidRPr="003B5108">
        <w:rPr>
          <w:spacing w:val="-1"/>
        </w:rPr>
        <w:t>along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the same</w:t>
      </w:r>
      <w:r w:rsidRPr="003B5108">
        <w:rPr>
          <w:spacing w:val="-5"/>
        </w:rPr>
        <w:t xml:space="preserve"> </w:t>
      </w:r>
      <w:r w:rsidRPr="003B5108">
        <w:rPr>
          <w:spacing w:val="-1"/>
        </w:rPr>
        <w:t xml:space="preserve">timeline </w:t>
      </w:r>
      <w:r w:rsidRPr="003B5108">
        <w:t>as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CTC.</w:t>
      </w:r>
      <w:r w:rsidRPr="003B5108">
        <w:rPr>
          <w:spacing w:val="52"/>
        </w:rPr>
        <w:t xml:space="preserve"> </w:t>
      </w:r>
      <w:r w:rsidRPr="003B5108">
        <w:rPr>
          <w:spacing w:val="-1"/>
        </w:rPr>
        <w:t>If</w:t>
      </w:r>
      <w:r w:rsidRPr="003B5108">
        <w:t xml:space="preserve"> a</w:t>
      </w:r>
      <w:r w:rsidRPr="003B5108">
        <w:rPr>
          <w:spacing w:val="73"/>
        </w:rPr>
        <w:t xml:space="preserve"> </w:t>
      </w:r>
      <w:r w:rsidRPr="003B5108">
        <w:rPr>
          <w:spacing w:val="-1"/>
        </w:rPr>
        <w:t>different</w:t>
      </w:r>
      <w:r w:rsidRPr="003B5108">
        <w:rPr>
          <w:spacing w:val="-4"/>
        </w:rPr>
        <w:t xml:space="preserve"> </w:t>
      </w:r>
      <w:r w:rsidR="0053772D" w:rsidRPr="003B5108">
        <w:rPr>
          <w:spacing w:val="-1"/>
        </w:rPr>
        <w:t>timeline</w:t>
      </w:r>
      <w:r w:rsidRPr="003B5108">
        <w:rPr>
          <w:spacing w:val="-3"/>
        </w:rPr>
        <w:t xml:space="preserve"> </w:t>
      </w:r>
      <w:r w:rsidRPr="003B5108">
        <w:t>is</w:t>
      </w:r>
      <w:r w:rsidRPr="003B5108">
        <w:rPr>
          <w:spacing w:val="-2"/>
        </w:rPr>
        <w:t xml:space="preserve"> </w:t>
      </w:r>
      <w:r w:rsidRPr="003B5108">
        <w:t>used</w:t>
      </w:r>
      <w:r w:rsidR="0053772D" w:rsidRPr="003B5108">
        <w:rPr>
          <w:spacing w:val="-3"/>
        </w:rPr>
        <w:t xml:space="preserve">, </w:t>
      </w:r>
      <w:r w:rsidRPr="003B5108">
        <w:t>the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 xml:space="preserve">practice </w:t>
      </w:r>
      <w:r w:rsidRPr="003B5108">
        <w:t>is</w:t>
      </w:r>
      <w:r w:rsidRPr="003B5108">
        <w:rPr>
          <w:spacing w:val="-2"/>
        </w:rPr>
        <w:t xml:space="preserve"> </w:t>
      </w:r>
      <w:r w:rsidRPr="003B5108">
        <w:rPr>
          <w:spacing w:val="-1"/>
        </w:rPr>
        <w:t>responsible for securing</w:t>
      </w:r>
      <w:r w:rsidRPr="003B5108">
        <w:rPr>
          <w:spacing w:val="96"/>
        </w:rPr>
        <w:t xml:space="preserve"> </w:t>
      </w:r>
      <w:r w:rsidRPr="003B5108">
        <w:t>results</w:t>
      </w:r>
      <w:r w:rsidR="0053772D" w:rsidRPr="003B5108">
        <w:t xml:space="preserve"> according to the</w:t>
      </w:r>
      <w:r w:rsidRPr="003B5108">
        <w:rPr>
          <w:spacing w:val="-6"/>
        </w:rPr>
        <w:t xml:space="preserve"> </w:t>
      </w:r>
      <w:r w:rsidR="0053772D" w:rsidRPr="003B5108">
        <w:rPr>
          <w:spacing w:val="-6"/>
        </w:rPr>
        <w:t>CTC timeline</w:t>
      </w:r>
      <w:r w:rsidR="000A6ABF" w:rsidRPr="003B5108">
        <w:rPr>
          <w:spacing w:val="-6"/>
        </w:rPr>
        <w:t>.</w:t>
      </w:r>
    </w:p>
    <w:p w:rsidR="00D612B1" w:rsidRPr="003B5108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144"/>
      </w:pPr>
      <w:r w:rsidRPr="003B5108">
        <w:rPr>
          <w:spacing w:val="-1"/>
        </w:rPr>
        <w:t>If</w:t>
      </w:r>
      <w:r w:rsidRPr="003B5108">
        <w:t xml:space="preserve"> a</w:t>
      </w:r>
      <w:r w:rsidRPr="003B5108">
        <w:rPr>
          <w:spacing w:val="-4"/>
        </w:rPr>
        <w:t xml:space="preserve"> </w:t>
      </w:r>
      <w:r w:rsidRPr="003B5108">
        <w:t>practice</w:t>
      </w:r>
      <w:r w:rsidRPr="003B5108">
        <w:rPr>
          <w:spacing w:val="-3"/>
        </w:rPr>
        <w:t xml:space="preserve"> </w:t>
      </w:r>
      <w:r w:rsidRPr="003B5108">
        <w:t>fails</w:t>
      </w:r>
      <w:r w:rsidRPr="003B5108">
        <w:rPr>
          <w:spacing w:val="-3"/>
        </w:rPr>
        <w:t xml:space="preserve"> </w:t>
      </w:r>
      <w:r w:rsidRPr="003B5108">
        <w:t>to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report</w:t>
      </w:r>
      <w:r w:rsidRPr="003B5108">
        <w:t xml:space="preserve"> </w:t>
      </w:r>
      <w:r w:rsidRPr="003B5108">
        <w:rPr>
          <w:spacing w:val="-1"/>
        </w:rPr>
        <w:t>follow-up</w:t>
      </w:r>
      <w:r w:rsidRPr="003B5108">
        <w:t xml:space="preserve"> </w:t>
      </w:r>
      <w:r w:rsidRPr="003B5108">
        <w:rPr>
          <w:spacing w:val="-1"/>
        </w:rPr>
        <w:t>results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before</w:t>
      </w:r>
      <w:r w:rsidRPr="003B5108">
        <w:t xml:space="preserve"> or</w:t>
      </w:r>
      <w:r w:rsidRPr="003B5108">
        <w:rPr>
          <w:spacing w:val="-4"/>
        </w:rPr>
        <w:t xml:space="preserve"> </w:t>
      </w:r>
      <w:r w:rsidRPr="003B5108">
        <w:t>on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the same</w:t>
      </w:r>
      <w:r w:rsidRPr="003B5108">
        <w:rPr>
          <w:spacing w:val="-2"/>
        </w:rPr>
        <w:t xml:space="preserve"> </w:t>
      </w:r>
      <w:r w:rsidRPr="003B5108">
        <w:t>day</w:t>
      </w:r>
      <w:r w:rsidRPr="003B5108">
        <w:rPr>
          <w:spacing w:val="-5"/>
        </w:rPr>
        <w:t xml:space="preserve"> </w:t>
      </w:r>
      <w:r w:rsidR="00073E33" w:rsidRPr="003B5108">
        <w:t>the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CTC</w:t>
      </w:r>
      <w:r w:rsidRPr="003B5108">
        <w:rPr>
          <w:spacing w:val="-2"/>
        </w:rPr>
        <w:t xml:space="preserve"> </w:t>
      </w:r>
      <w:r w:rsidRPr="003B5108">
        <w:t>results</w:t>
      </w:r>
      <w:r w:rsidRPr="003B5108">
        <w:rPr>
          <w:spacing w:val="-3"/>
        </w:rPr>
        <w:t xml:space="preserve"> </w:t>
      </w:r>
      <w:r w:rsidRPr="003B5108">
        <w:t>are</w:t>
      </w:r>
      <w:r w:rsidRPr="003B5108">
        <w:rPr>
          <w:spacing w:val="49"/>
          <w:w w:val="99"/>
        </w:rPr>
        <w:t xml:space="preserve"> </w:t>
      </w:r>
      <w:r w:rsidRPr="003B5108">
        <w:t>reported,</w:t>
      </w:r>
      <w:r w:rsidRPr="003B5108">
        <w:rPr>
          <w:spacing w:val="-6"/>
        </w:rPr>
        <w:t xml:space="preserve"> </w:t>
      </w:r>
      <w:r w:rsidR="00073E33" w:rsidRPr="003B5108">
        <w:rPr>
          <w:spacing w:val="-1"/>
        </w:rPr>
        <w:t>it is n</w:t>
      </w:r>
      <w:r w:rsidRPr="003B5108">
        <w:t>ot</w:t>
      </w:r>
      <w:r w:rsidRPr="003B5108">
        <w:rPr>
          <w:spacing w:val="-4"/>
        </w:rPr>
        <w:t xml:space="preserve"> </w:t>
      </w:r>
      <w:r w:rsidRPr="003B5108">
        <w:rPr>
          <w:spacing w:val="-1"/>
        </w:rPr>
        <w:t>eligible</w:t>
      </w:r>
      <w:r w:rsidRPr="003B5108">
        <w:rPr>
          <w:spacing w:val="-5"/>
        </w:rPr>
        <w:t xml:space="preserve"> </w:t>
      </w:r>
      <w:r w:rsidRPr="003B5108">
        <w:t>for</w:t>
      </w:r>
      <w:r w:rsidRPr="003B5108">
        <w:rPr>
          <w:spacing w:val="-6"/>
        </w:rPr>
        <w:t xml:space="preserve"> </w:t>
      </w:r>
      <w:r w:rsidRPr="003B5108">
        <w:rPr>
          <w:spacing w:val="-1"/>
        </w:rPr>
        <w:t>the</w:t>
      </w:r>
      <w:r w:rsidRPr="003B5108">
        <w:rPr>
          <w:spacing w:val="-3"/>
        </w:rPr>
        <w:t xml:space="preserve"> </w:t>
      </w:r>
      <w:r w:rsidRPr="003B5108">
        <w:rPr>
          <w:spacing w:val="-1"/>
        </w:rPr>
        <w:t>PMPM incentive</w:t>
      </w:r>
      <w:r w:rsidRPr="003B5108">
        <w:rPr>
          <w:spacing w:val="-5"/>
        </w:rPr>
        <w:t xml:space="preserve"> </w:t>
      </w:r>
      <w:r w:rsidRPr="003B5108">
        <w:t>payment.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27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283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3A" w:rsidRDefault="006B553A">
      <w:r>
        <w:separator/>
      </w:r>
    </w:p>
  </w:endnote>
  <w:endnote w:type="continuationSeparator" w:id="0">
    <w:p w:rsidR="006B553A" w:rsidRDefault="006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34" w:rsidRDefault="00FC7534">
    <w:pPr>
      <w:pStyle w:val="Footer"/>
    </w:pPr>
    <w:r>
      <w:t>10/23/19</w:t>
    </w:r>
  </w:p>
  <w:p w:rsidR="00D612B1" w:rsidRDefault="00D612B1" w:rsidP="003C1F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3A" w:rsidRDefault="006B553A">
      <w:r>
        <w:separator/>
      </w:r>
    </w:p>
  </w:footnote>
  <w:footnote w:type="continuationSeparator" w:id="0">
    <w:p w:rsidR="006B553A" w:rsidRDefault="006B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74" w:rsidRDefault="000E6774">
    <w:pPr>
      <w:pStyle w:val="Header"/>
    </w:pPr>
  </w:p>
  <w:p w:rsidR="000E6774" w:rsidRDefault="000E6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249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6" w15:restartNumberingAfterBreak="0">
    <w:nsid w:val="527A6708"/>
    <w:multiLevelType w:val="hybridMultilevel"/>
    <w:tmpl w:val="FC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 w15:restartNumberingAfterBreak="0">
    <w:nsid w:val="7A6374E5"/>
    <w:multiLevelType w:val="hybridMultilevel"/>
    <w:tmpl w:val="154A27D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654B4"/>
    <w:rsid w:val="00073E33"/>
    <w:rsid w:val="00073E7B"/>
    <w:rsid w:val="000841F9"/>
    <w:rsid w:val="00095C2B"/>
    <w:rsid w:val="000A6ABF"/>
    <w:rsid w:val="000C61E6"/>
    <w:rsid w:val="000D09E5"/>
    <w:rsid w:val="000E6774"/>
    <w:rsid w:val="000F549F"/>
    <w:rsid w:val="001522E9"/>
    <w:rsid w:val="001730E4"/>
    <w:rsid w:val="00177BFA"/>
    <w:rsid w:val="001C03C5"/>
    <w:rsid w:val="001C1429"/>
    <w:rsid w:val="001C269C"/>
    <w:rsid w:val="0025075F"/>
    <w:rsid w:val="0028245E"/>
    <w:rsid w:val="00295158"/>
    <w:rsid w:val="00295E3B"/>
    <w:rsid w:val="002D2456"/>
    <w:rsid w:val="00333EBA"/>
    <w:rsid w:val="0035335F"/>
    <w:rsid w:val="003725BC"/>
    <w:rsid w:val="00387ABC"/>
    <w:rsid w:val="003B5108"/>
    <w:rsid w:val="003C1F02"/>
    <w:rsid w:val="003D79D5"/>
    <w:rsid w:val="00431262"/>
    <w:rsid w:val="004B4F7A"/>
    <w:rsid w:val="004D5FD0"/>
    <w:rsid w:val="004E50F4"/>
    <w:rsid w:val="0053625A"/>
    <w:rsid w:val="0053772D"/>
    <w:rsid w:val="005532BC"/>
    <w:rsid w:val="00561FB0"/>
    <w:rsid w:val="005936AB"/>
    <w:rsid w:val="005A3E2C"/>
    <w:rsid w:val="005C5E06"/>
    <w:rsid w:val="005E470E"/>
    <w:rsid w:val="0061701A"/>
    <w:rsid w:val="00676917"/>
    <w:rsid w:val="006B553A"/>
    <w:rsid w:val="006C7040"/>
    <w:rsid w:val="006F13D5"/>
    <w:rsid w:val="00722C33"/>
    <w:rsid w:val="00753CFE"/>
    <w:rsid w:val="007D396D"/>
    <w:rsid w:val="008309C5"/>
    <w:rsid w:val="008533FE"/>
    <w:rsid w:val="00854A75"/>
    <w:rsid w:val="00904D74"/>
    <w:rsid w:val="00917779"/>
    <w:rsid w:val="00960A15"/>
    <w:rsid w:val="009D3F2D"/>
    <w:rsid w:val="00A06100"/>
    <w:rsid w:val="00A1166D"/>
    <w:rsid w:val="00A7219F"/>
    <w:rsid w:val="00A82841"/>
    <w:rsid w:val="00A87902"/>
    <w:rsid w:val="00AD5665"/>
    <w:rsid w:val="00AD57CF"/>
    <w:rsid w:val="00AF20EA"/>
    <w:rsid w:val="00B432E8"/>
    <w:rsid w:val="00BE24B0"/>
    <w:rsid w:val="00BE5357"/>
    <w:rsid w:val="00C1167C"/>
    <w:rsid w:val="00C4307C"/>
    <w:rsid w:val="00C5298C"/>
    <w:rsid w:val="00CA24DF"/>
    <w:rsid w:val="00CB3EB8"/>
    <w:rsid w:val="00CC6B20"/>
    <w:rsid w:val="00CD0970"/>
    <w:rsid w:val="00CD7617"/>
    <w:rsid w:val="00D10627"/>
    <w:rsid w:val="00D529C4"/>
    <w:rsid w:val="00D612B1"/>
    <w:rsid w:val="00DB112B"/>
    <w:rsid w:val="00DB2CE1"/>
    <w:rsid w:val="00DD5C3C"/>
    <w:rsid w:val="00E751E3"/>
    <w:rsid w:val="00EA20F1"/>
    <w:rsid w:val="00F36DC1"/>
    <w:rsid w:val="00F81132"/>
    <w:rsid w:val="00FC7534"/>
    <w:rsid w:val="00FE4182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86ED6-2A99-4559-A440-1FC7186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9F"/>
  </w:style>
  <w:style w:type="paragraph" w:styleId="Footer">
    <w:name w:val="footer"/>
    <w:basedOn w:val="Normal"/>
    <w:link w:val="Foot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9F"/>
  </w:style>
  <w:style w:type="character" w:styleId="Hyperlink">
    <w:name w:val="Hyperlink"/>
    <w:basedOn w:val="DefaultParagraphFont"/>
    <w:uiPriority w:val="99"/>
    <w:unhideWhenUsed/>
    <w:rsid w:val="001C1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1F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tc-ri.org/sites/default/files/uploads/Revised%20Measure%20Specifications%20Adult%20and%20Pedi%20CTC-OHIC%20Oct%202019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sites/default/files/uploads/Revised%20Measure%20Specifications%20Adult%20and%20Pedi%20CTC-OHIC%20Dec%202018%20FINAL_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tc-ri.org/sites/default/files/uploads/Revised%20Measure%20Specifications%20Adult%20and%20Pedi%20CTC-OHIC%20Dec%202018%20FINAL_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5FDC-1452-418B-A488-9218B85C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6</cp:revision>
  <cp:lastPrinted>2017-07-11T17:19:00Z</cp:lastPrinted>
  <dcterms:created xsi:type="dcterms:W3CDTF">2019-10-28T17:34:00Z</dcterms:created>
  <dcterms:modified xsi:type="dcterms:W3CDTF">2019-12-27T17:59:00Z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