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7EE8" w14:textId="77777777" w:rsidR="0094035C" w:rsidRPr="006D5116" w:rsidRDefault="0094035C" w:rsidP="0094035C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6D5116">
        <w:rPr>
          <w:rFonts w:asciiTheme="majorBidi" w:hAnsiTheme="majorBidi" w:cstheme="majorBidi"/>
          <w:b/>
        </w:rPr>
        <w:t>SCOPE OF WORK</w:t>
      </w:r>
    </w:p>
    <w:p w14:paraId="792F5F79" w14:textId="77777777" w:rsidR="0094035C" w:rsidRPr="006D5116" w:rsidRDefault="0094035C" w:rsidP="0094035C">
      <w:pPr>
        <w:spacing w:after="0" w:line="240" w:lineRule="auto"/>
        <w:jc w:val="center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Care + Community + Equity </w:t>
      </w:r>
    </w:p>
    <w:p w14:paraId="296E92F4" w14:textId="272FE806" w:rsidR="0094035C" w:rsidRPr="006D5116" w:rsidRDefault="0094035C" w:rsidP="009403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D5116">
        <w:rPr>
          <w:rFonts w:asciiTheme="majorBidi" w:hAnsiTheme="majorBidi" w:cstheme="majorBidi"/>
          <w:b/>
          <w:bCs/>
        </w:rPr>
        <w:t xml:space="preserve">Self-Measurement of Blood Pressure </w:t>
      </w:r>
    </w:p>
    <w:p w14:paraId="5D993174" w14:textId="0F47D77D" w:rsidR="0030271B" w:rsidRPr="006D5116" w:rsidRDefault="00CA32DC" w:rsidP="0030271B">
      <w:pPr>
        <w:spacing w:after="0" w:line="240" w:lineRule="auto"/>
        <w:jc w:val="center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June 30</w:t>
      </w:r>
      <w:r w:rsidRPr="006D5116">
        <w:rPr>
          <w:rFonts w:asciiTheme="majorBidi" w:hAnsiTheme="majorBidi" w:cstheme="majorBidi"/>
          <w:vertAlign w:val="superscript"/>
        </w:rPr>
        <w:t>th</w:t>
      </w:r>
      <w:r w:rsidRPr="006D5116">
        <w:rPr>
          <w:rFonts w:asciiTheme="majorBidi" w:hAnsiTheme="majorBidi" w:cstheme="majorBidi"/>
        </w:rPr>
        <w:t>, 202</w:t>
      </w:r>
      <w:r w:rsidR="0062091E" w:rsidRPr="006D5116">
        <w:rPr>
          <w:rFonts w:asciiTheme="majorBidi" w:hAnsiTheme="majorBidi" w:cstheme="majorBidi"/>
        </w:rPr>
        <w:t>2</w:t>
      </w:r>
      <w:r w:rsidR="00E71E7E" w:rsidRPr="006D5116">
        <w:rPr>
          <w:rFonts w:asciiTheme="majorBidi" w:hAnsiTheme="majorBidi" w:cstheme="majorBidi"/>
        </w:rPr>
        <w:t xml:space="preserve"> </w:t>
      </w:r>
      <w:r w:rsidRPr="006D5116">
        <w:rPr>
          <w:rFonts w:asciiTheme="majorBidi" w:hAnsiTheme="majorBidi" w:cstheme="majorBidi"/>
        </w:rPr>
        <w:t xml:space="preserve">– </w:t>
      </w:r>
      <w:r w:rsidR="0030271B" w:rsidRPr="006D5116">
        <w:rPr>
          <w:rFonts w:asciiTheme="majorBidi" w:hAnsiTheme="majorBidi" w:cstheme="majorBidi"/>
        </w:rPr>
        <w:t>September 29</w:t>
      </w:r>
      <w:r w:rsidR="0030271B" w:rsidRPr="006D5116">
        <w:rPr>
          <w:rFonts w:asciiTheme="majorBidi" w:hAnsiTheme="majorBidi" w:cstheme="majorBidi"/>
          <w:vertAlign w:val="superscript"/>
        </w:rPr>
        <w:t>th</w:t>
      </w:r>
      <w:r w:rsidR="0030271B" w:rsidRPr="006D5116">
        <w:rPr>
          <w:rFonts w:asciiTheme="majorBidi" w:hAnsiTheme="majorBidi" w:cstheme="majorBidi"/>
        </w:rPr>
        <w:t>, 2023</w:t>
      </w:r>
    </w:p>
    <w:p w14:paraId="7918D597" w14:textId="590B24C7" w:rsidR="00CA32DC" w:rsidRPr="006D5116" w:rsidRDefault="00CA32DC" w:rsidP="00CA32DC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6763FBA2" w14:textId="77777777" w:rsidR="00556E2B" w:rsidRPr="006D5116" w:rsidRDefault="00556E2B" w:rsidP="0094035C">
      <w:pPr>
        <w:spacing w:after="0" w:line="240" w:lineRule="auto"/>
        <w:rPr>
          <w:rFonts w:asciiTheme="majorBidi" w:hAnsiTheme="majorBidi" w:cstheme="majorBidi"/>
        </w:rPr>
      </w:pPr>
    </w:p>
    <w:p w14:paraId="2FB6DD07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This scope of work has been designed to: </w:t>
      </w:r>
    </w:p>
    <w:p w14:paraId="154A3408" w14:textId="77777777" w:rsidR="00F45018" w:rsidRPr="006D5116" w:rsidRDefault="00F45018" w:rsidP="00F45018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Align with the recent UDS emphasis on strengthening data infrastructure to capture, use, and share patient-generated health data</w:t>
      </w:r>
    </w:p>
    <w:p w14:paraId="5ABACC41" w14:textId="1A320BD8" w:rsidR="00F45018" w:rsidRPr="006D5116" w:rsidRDefault="00F45018" w:rsidP="00F45018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Help practices implement or optimize an existing </w:t>
      </w:r>
      <w:r w:rsidR="00E06C46" w:rsidRPr="006D5116">
        <w:rPr>
          <w:rFonts w:asciiTheme="majorBidi" w:hAnsiTheme="majorBidi" w:cstheme="majorBidi"/>
        </w:rPr>
        <w:t>s</w:t>
      </w:r>
      <w:r w:rsidRPr="006D5116">
        <w:rPr>
          <w:rFonts w:asciiTheme="majorBidi" w:hAnsiTheme="majorBidi" w:cstheme="majorBidi"/>
        </w:rPr>
        <w:t>elf-</w:t>
      </w:r>
      <w:r w:rsidR="00E06C46" w:rsidRPr="006D5116">
        <w:rPr>
          <w:rFonts w:asciiTheme="majorBidi" w:hAnsiTheme="majorBidi" w:cstheme="majorBidi"/>
        </w:rPr>
        <w:t>m</w:t>
      </w:r>
      <w:r w:rsidRPr="006D5116">
        <w:rPr>
          <w:rFonts w:asciiTheme="majorBidi" w:hAnsiTheme="majorBidi" w:cstheme="majorBidi"/>
        </w:rPr>
        <w:t xml:space="preserve">easurement of </w:t>
      </w:r>
      <w:r w:rsidR="00E06C46" w:rsidRPr="006D5116">
        <w:rPr>
          <w:rFonts w:asciiTheme="majorBidi" w:hAnsiTheme="majorBidi" w:cstheme="majorBidi"/>
        </w:rPr>
        <w:t>b</w:t>
      </w:r>
      <w:r w:rsidRPr="006D5116">
        <w:rPr>
          <w:rFonts w:asciiTheme="majorBidi" w:hAnsiTheme="majorBidi" w:cstheme="majorBidi"/>
        </w:rPr>
        <w:t xml:space="preserve">lood </w:t>
      </w:r>
      <w:r w:rsidR="00E06C46" w:rsidRPr="006D5116">
        <w:rPr>
          <w:rFonts w:asciiTheme="majorBidi" w:hAnsiTheme="majorBidi" w:cstheme="majorBidi"/>
        </w:rPr>
        <w:t>p</w:t>
      </w:r>
      <w:r w:rsidRPr="006D5116">
        <w:rPr>
          <w:rFonts w:asciiTheme="majorBidi" w:hAnsiTheme="majorBidi" w:cstheme="majorBidi"/>
        </w:rPr>
        <w:t xml:space="preserve">ressure (SMBP) program </w:t>
      </w:r>
    </w:p>
    <w:p w14:paraId="4B3AC00A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  <w:b/>
        </w:rPr>
      </w:pPr>
    </w:p>
    <w:p w14:paraId="27E62516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  <w:b/>
        </w:rPr>
      </w:pPr>
      <w:r w:rsidRPr="006D5116">
        <w:rPr>
          <w:rFonts w:asciiTheme="majorBidi" w:hAnsiTheme="majorBidi" w:cstheme="majorBidi"/>
          <w:b/>
        </w:rPr>
        <w:t xml:space="preserve">Aims </w:t>
      </w:r>
    </w:p>
    <w:p w14:paraId="43299495" w14:textId="62543A0C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</w:rPr>
      </w:pPr>
      <w:bookmarkStart w:id="1" w:name="_Hlk533689698"/>
      <w:bookmarkStart w:id="2" w:name="_Hlk533693233"/>
      <w:r w:rsidRPr="006D5116">
        <w:rPr>
          <w:rFonts w:asciiTheme="majorBidi" w:hAnsiTheme="majorBidi" w:cstheme="majorBidi"/>
        </w:rPr>
        <w:t xml:space="preserve">Through Care + Community + Equity (CCE), </w:t>
      </w:r>
      <w:bookmarkEnd w:id="1"/>
      <w:r w:rsidRPr="006D5116">
        <w:rPr>
          <w:rFonts w:asciiTheme="majorBidi" w:hAnsiTheme="majorBidi" w:cstheme="majorBidi"/>
        </w:rPr>
        <w:t xml:space="preserve">the Diabetes, Heart Disease and Stroke Program (DHDS) at the Rhode Island Department of Health (RIDOH) is seeking to improve clinical care of </w:t>
      </w:r>
      <w:r w:rsidR="00E06C46" w:rsidRPr="006D5116">
        <w:rPr>
          <w:rFonts w:asciiTheme="majorBidi" w:hAnsiTheme="majorBidi" w:cstheme="majorBidi"/>
        </w:rPr>
        <w:t>patients with hypertension.</w:t>
      </w:r>
      <w:r w:rsidRPr="006D5116">
        <w:rPr>
          <w:rFonts w:asciiTheme="majorBidi" w:hAnsiTheme="majorBidi" w:cstheme="majorBidi"/>
        </w:rPr>
        <w:t xml:space="preserve"> This program </w:t>
      </w:r>
      <w:r w:rsidR="006C195B" w:rsidRPr="006D5116">
        <w:rPr>
          <w:rFonts w:asciiTheme="majorBidi" w:hAnsiTheme="majorBidi" w:cstheme="majorBidi"/>
        </w:rPr>
        <w:t xml:space="preserve">uses </w:t>
      </w:r>
      <w:r w:rsidRPr="006D5116">
        <w:rPr>
          <w:rFonts w:asciiTheme="majorBidi" w:hAnsiTheme="majorBidi" w:cstheme="majorBidi"/>
        </w:rPr>
        <w:t xml:space="preserve">out-of-office blood pressure measurement to </w:t>
      </w:r>
      <w:r w:rsidR="006C195B" w:rsidRPr="006D5116">
        <w:rPr>
          <w:rFonts w:asciiTheme="majorBidi" w:hAnsiTheme="majorBidi" w:cstheme="majorBidi"/>
        </w:rPr>
        <w:t>assist in diagnosing and managing hypertension and increase patient participation in their own care</w:t>
      </w:r>
      <w:r w:rsidRPr="006D5116">
        <w:rPr>
          <w:rFonts w:asciiTheme="majorBidi" w:hAnsiTheme="majorBidi" w:cstheme="majorBidi"/>
        </w:rPr>
        <w:t xml:space="preserve"> </w:t>
      </w:r>
      <w:r w:rsidR="00E06C46" w:rsidRPr="006D5116">
        <w:rPr>
          <w:rFonts w:asciiTheme="majorBidi" w:hAnsiTheme="majorBidi" w:cstheme="majorBidi"/>
        </w:rPr>
        <w:t xml:space="preserve">and </w:t>
      </w:r>
      <w:r w:rsidR="006C195B" w:rsidRPr="006D5116">
        <w:rPr>
          <w:rFonts w:asciiTheme="majorBidi" w:hAnsiTheme="majorBidi" w:cstheme="majorBidi"/>
        </w:rPr>
        <w:t xml:space="preserve">is provided </w:t>
      </w:r>
      <w:r w:rsidRPr="006D5116">
        <w:rPr>
          <w:rFonts w:asciiTheme="majorBidi" w:hAnsiTheme="majorBidi" w:cstheme="majorBidi"/>
        </w:rPr>
        <w:t xml:space="preserve">in conjunction with team-based care, telehealth counseling, and other clinical interventions.   </w:t>
      </w:r>
    </w:p>
    <w:bookmarkEnd w:id="2"/>
    <w:p w14:paraId="2D35FEEF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</w:rPr>
      </w:pPr>
    </w:p>
    <w:p w14:paraId="0B81D265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</w:rPr>
      </w:pPr>
      <w:bookmarkStart w:id="3" w:name="_Hlk535489058"/>
      <w:r w:rsidRPr="006D5116">
        <w:rPr>
          <w:rFonts w:asciiTheme="majorBidi" w:hAnsiTheme="majorBidi" w:cstheme="majorBidi"/>
        </w:rPr>
        <w:t xml:space="preserve">DHDS envisions a health care system where providers are connected to the communities they serve, and communities are connected to the providers within their neighborhood.  </w:t>
      </w:r>
    </w:p>
    <w:bookmarkEnd w:id="3"/>
    <w:p w14:paraId="0E712FAE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</w:rPr>
      </w:pPr>
    </w:p>
    <w:p w14:paraId="273EE886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</w:rPr>
      </w:pPr>
      <w:bookmarkStart w:id="4" w:name="_Hlk533688330"/>
      <w:r w:rsidRPr="006D5116">
        <w:rPr>
          <w:rFonts w:asciiTheme="majorBidi" w:hAnsiTheme="majorBidi" w:cstheme="majorBidi"/>
        </w:rPr>
        <w:t xml:space="preserve">Within this scope of work, DHDS aims to: </w:t>
      </w:r>
    </w:p>
    <w:bookmarkEnd w:id="4"/>
    <w:p w14:paraId="336B2D01" w14:textId="77777777" w:rsidR="00F45018" w:rsidRPr="006D5116" w:rsidRDefault="00F45018" w:rsidP="00F4501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Identify patients with hypertension (diagnosed and undiagnosed)</w:t>
      </w:r>
    </w:p>
    <w:p w14:paraId="31AA4E6A" w14:textId="77777777" w:rsidR="00F45018" w:rsidRPr="006D5116" w:rsidRDefault="00F45018" w:rsidP="00F4501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Improve blood pressure control through the integration of out-of-office blood pressure measurement, or SMBP, into the standard of care for hypertension </w:t>
      </w:r>
    </w:p>
    <w:p w14:paraId="6D8F042F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  <w:b/>
        </w:rPr>
      </w:pPr>
    </w:p>
    <w:p w14:paraId="22A06A73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  <w:b/>
        </w:rPr>
      </w:pPr>
      <w:r w:rsidRPr="006D5116">
        <w:rPr>
          <w:rFonts w:asciiTheme="majorBidi" w:hAnsiTheme="majorBidi" w:cstheme="majorBidi"/>
          <w:b/>
        </w:rPr>
        <w:t xml:space="preserve">Scope of Work </w:t>
      </w:r>
    </w:p>
    <w:p w14:paraId="7F207C7D" w14:textId="77777777" w:rsidR="00F45018" w:rsidRPr="006D5116" w:rsidRDefault="00F45018" w:rsidP="00F45018">
      <w:p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To effectively participate in this work, each practice must have the ability to:</w:t>
      </w:r>
    </w:p>
    <w:p w14:paraId="1C54C8E4" w14:textId="7DF4DF4A" w:rsidR="00F45018" w:rsidRPr="006D5116" w:rsidRDefault="00F45018" w:rsidP="00F45018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Generate reports from their electronic health records (EHRs) of </w:t>
      </w:r>
    </w:p>
    <w:p w14:paraId="3FD80E73" w14:textId="5EAF3AD3" w:rsidR="00E74305" w:rsidRPr="006D5116" w:rsidRDefault="00E74305" w:rsidP="00F45018">
      <w:pPr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the number of patients with undiagnosed hypertension</w:t>
      </w:r>
    </w:p>
    <w:p w14:paraId="612B14A4" w14:textId="499B0F8C" w:rsidR="00F25594" w:rsidRPr="006D5116" w:rsidRDefault="00F25594" w:rsidP="00F45018">
      <w:pPr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the </w:t>
      </w:r>
      <w:r w:rsidR="006C195B" w:rsidRPr="006D5116">
        <w:rPr>
          <w:rFonts w:asciiTheme="majorBidi" w:hAnsiTheme="majorBidi" w:cstheme="majorBidi"/>
        </w:rPr>
        <w:t xml:space="preserve">percentage </w:t>
      </w:r>
      <w:r w:rsidRPr="006D5116">
        <w:rPr>
          <w:rFonts w:asciiTheme="majorBidi" w:hAnsiTheme="majorBidi" w:cstheme="majorBidi"/>
        </w:rPr>
        <w:t xml:space="preserve">of patients with </w:t>
      </w:r>
      <w:r w:rsidR="006C195B" w:rsidRPr="006D5116">
        <w:rPr>
          <w:rFonts w:asciiTheme="majorBidi" w:hAnsiTheme="majorBidi" w:cstheme="majorBidi"/>
        </w:rPr>
        <w:t>h</w:t>
      </w:r>
      <w:r w:rsidRPr="006D5116">
        <w:rPr>
          <w:rFonts w:asciiTheme="majorBidi" w:hAnsiTheme="majorBidi" w:cstheme="majorBidi"/>
        </w:rPr>
        <w:t xml:space="preserve">ypertension in </w:t>
      </w:r>
      <w:r w:rsidR="006C195B" w:rsidRPr="006D5116">
        <w:rPr>
          <w:rFonts w:asciiTheme="majorBidi" w:hAnsiTheme="majorBidi" w:cstheme="majorBidi"/>
        </w:rPr>
        <w:t>c</w:t>
      </w:r>
      <w:r w:rsidRPr="006D5116">
        <w:rPr>
          <w:rFonts w:asciiTheme="majorBidi" w:hAnsiTheme="majorBidi" w:cstheme="majorBidi"/>
        </w:rPr>
        <w:t>ontrol (CMS 165v</w:t>
      </w:r>
      <w:r w:rsidR="00E81C8C">
        <w:rPr>
          <w:rFonts w:asciiTheme="majorBidi" w:hAnsiTheme="majorBidi" w:cstheme="majorBidi"/>
        </w:rPr>
        <w:t>10</w:t>
      </w:r>
      <w:r w:rsidRPr="006D5116">
        <w:rPr>
          <w:rFonts w:asciiTheme="majorBidi" w:hAnsiTheme="majorBidi" w:cstheme="majorBidi"/>
        </w:rPr>
        <w:t>)</w:t>
      </w:r>
    </w:p>
    <w:p w14:paraId="3A401D44" w14:textId="77777777" w:rsidR="00F45018" w:rsidRPr="006D5116" w:rsidRDefault="00F45018" w:rsidP="00F4501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Develop and implement workflows that support data collection and management, screening, and referrals to SMBP</w:t>
      </w:r>
    </w:p>
    <w:p w14:paraId="63153249" w14:textId="1468E03E" w:rsidR="002278EE" w:rsidRPr="006D5116" w:rsidRDefault="00AE697A" w:rsidP="0094035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Track </w:t>
      </w:r>
      <w:r w:rsidR="00625DB4" w:rsidRPr="006D5116">
        <w:rPr>
          <w:rFonts w:asciiTheme="majorBidi" w:hAnsiTheme="majorBidi" w:cstheme="majorBidi"/>
        </w:rPr>
        <w:t>the distribution of</w:t>
      </w:r>
      <w:r w:rsidR="00F56B34" w:rsidRPr="006D5116">
        <w:rPr>
          <w:rFonts w:asciiTheme="majorBidi" w:hAnsiTheme="majorBidi" w:cstheme="majorBidi"/>
        </w:rPr>
        <w:t xml:space="preserve"> </w:t>
      </w:r>
      <w:r w:rsidR="00625DB4" w:rsidRPr="006D5116">
        <w:rPr>
          <w:rFonts w:asciiTheme="majorBidi" w:hAnsiTheme="majorBidi" w:cstheme="majorBidi"/>
        </w:rPr>
        <w:t xml:space="preserve">at-home </w:t>
      </w:r>
      <w:r w:rsidR="002278EE" w:rsidRPr="006D5116">
        <w:rPr>
          <w:rFonts w:asciiTheme="majorBidi" w:hAnsiTheme="majorBidi" w:cstheme="majorBidi"/>
        </w:rPr>
        <w:t>blood pressure monitor</w:t>
      </w:r>
      <w:r w:rsidR="00F56B34" w:rsidRPr="006D5116">
        <w:rPr>
          <w:rFonts w:asciiTheme="majorBidi" w:hAnsiTheme="majorBidi" w:cstheme="majorBidi"/>
        </w:rPr>
        <w:t>s</w:t>
      </w:r>
      <w:r w:rsidR="00625DB4" w:rsidRPr="006D5116">
        <w:rPr>
          <w:rFonts w:asciiTheme="majorBidi" w:hAnsiTheme="majorBidi" w:cstheme="majorBidi"/>
        </w:rPr>
        <w:t xml:space="preserve">, purchased in Year 1 of </w:t>
      </w:r>
      <w:r w:rsidR="002F0A3E" w:rsidRPr="006D5116">
        <w:rPr>
          <w:rFonts w:asciiTheme="majorBidi" w:hAnsiTheme="majorBidi" w:cstheme="majorBidi"/>
        </w:rPr>
        <w:t>CCE</w:t>
      </w:r>
    </w:p>
    <w:p w14:paraId="01940DA6" w14:textId="77777777" w:rsidR="0094035C" w:rsidRPr="006D5116" w:rsidRDefault="0094035C" w:rsidP="0094035C">
      <w:pPr>
        <w:spacing w:after="0" w:line="240" w:lineRule="auto"/>
        <w:rPr>
          <w:rFonts w:asciiTheme="majorBidi" w:hAnsiTheme="majorBidi" w:cstheme="majorBidi"/>
        </w:rPr>
      </w:pPr>
    </w:p>
    <w:p w14:paraId="680C6847" w14:textId="3269454A" w:rsidR="00D80C7F" w:rsidRPr="006D5116" w:rsidRDefault="00F56B34" w:rsidP="0094035C">
      <w:pPr>
        <w:spacing w:after="0" w:line="240" w:lineRule="auto"/>
        <w:rPr>
          <w:rFonts w:asciiTheme="majorBidi" w:hAnsiTheme="majorBidi" w:cstheme="majorBidi"/>
          <w:u w:val="single"/>
        </w:rPr>
      </w:pPr>
      <w:r w:rsidRPr="006D5116">
        <w:rPr>
          <w:rFonts w:asciiTheme="majorBidi" w:hAnsiTheme="majorBidi" w:cstheme="majorBidi"/>
        </w:rPr>
        <w:t>The following deliverables outline in greater detail the responsibility of the practices.</w:t>
      </w:r>
    </w:p>
    <w:p w14:paraId="43CD3616" w14:textId="77777777" w:rsidR="00153B4F" w:rsidRPr="006D5116" w:rsidRDefault="00153B4F" w:rsidP="0094035C">
      <w:pPr>
        <w:spacing w:after="0" w:line="240" w:lineRule="auto"/>
        <w:rPr>
          <w:rFonts w:asciiTheme="majorBidi" w:hAnsiTheme="majorBidi" w:cstheme="majorBidi"/>
          <w:u w:val="single"/>
        </w:rPr>
      </w:pPr>
    </w:p>
    <w:p w14:paraId="3F2A1953" w14:textId="3F0DC239" w:rsidR="00903D3A" w:rsidRPr="006D5116" w:rsidRDefault="00625DB4" w:rsidP="00903D3A">
      <w:pPr>
        <w:spacing w:after="0" w:line="240" w:lineRule="auto"/>
        <w:rPr>
          <w:rFonts w:asciiTheme="majorBidi" w:hAnsiTheme="majorBidi" w:cstheme="majorBidi"/>
        </w:rPr>
      </w:pPr>
      <w:bookmarkStart w:id="5" w:name="_Hlk533695683"/>
      <w:r w:rsidRPr="006D5116">
        <w:rPr>
          <w:rFonts w:asciiTheme="majorBidi" w:hAnsiTheme="majorBidi" w:cstheme="majorBidi"/>
        </w:rPr>
        <w:t xml:space="preserve">Year </w:t>
      </w:r>
      <w:r w:rsidR="00B20303" w:rsidRPr="006D5116">
        <w:rPr>
          <w:rFonts w:asciiTheme="majorBidi" w:hAnsiTheme="majorBidi" w:cstheme="majorBidi"/>
        </w:rPr>
        <w:t>4</w:t>
      </w:r>
      <w:r w:rsidRPr="006D5116">
        <w:rPr>
          <w:rFonts w:asciiTheme="majorBidi" w:hAnsiTheme="majorBidi" w:cstheme="majorBidi"/>
        </w:rPr>
        <w:t xml:space="preserve"> of CCE is designed </w:t>
      </w:r>
      <w:r w:rsidR="006C195B" w:rsidRPr="006D5116">
        <w:rPr>
          <w:rFonts w:asciiTheme="majorBidi" w:hAnsiTheme="majorBidi" w:cstheme="majorBidi"/>
        </w:rPr>
        <w:t xml:space="preserve">to lead to improvements </w:t>
      </w:r>
      <w:r w:rsidR="00313836" w:rsidRPr="006D5116">
        <w:rPr>
          <w:rFonts w:asciiTheme="majorBidi" w:hAnsiTheme="majorBidi" w:cstheme="majorBidi"/>
        </w:rPr>
        <w:t xml:space="preserve">in </w:t>
      </w:r>
      <w:bookmarkEnd w:id="5"/>
      <w:r w:rsidR="00903D3A" w:rsidRPr="006D5116">
        <w:rPr>
          <w:rFonts w:asciiTheme="majorBidi" w:hAnsiTheme="majorBidi" w:cstheme="majorBidi"/>
        </w:rPr>
        <w:t>SMBP programs.</w:t>
      </w:r>
      <w:r w:rsidR="003239A0" w:rsidRPr="006D5116">
        <w:rPr>
          <w:rFonts w:asciiTheme="majorBidi" w:hAnsiTheme="majorBidi" w:cstheme="majorBidi"/>
        </w:rPr>
        <w:t xml:space="preserve"> </w:t>
      </w:r>
      <w:r w:rsidR="00903D3A" w:rsidRPr="006D5116">
        <w:rPr>
          <w:rFonts w:asciiTheme="majorBidi" w:hAnsiTheme="majorBidi" w:cstheme="majorBidi"/>
          <w:color w:val="000000" w:themeColor="text1"/>
        </w:rPr>
        <w:t xml:space="preserve">Deliverables in CCE’s </w:t>
      </w:r>
      <w:r w:rsidR="00313836" w:rsidRPr="006D5116">
        <w:rPr>
          <w:rFonts w:asciiTheme="majorBidi" w:hAnsiTheme="majorBidi" w:cstheme="majorBidi"/>
          <w:color w:val="000000" w:themeColor="text1"/>
        </w:rPr>
        <w:t>i</w:t>
      </w:r>
      <w:r w:rsidR="00903D3A" w:rsidRPr="006D5116">
        <w:rPr>
          <w:rFonts w:asciiTheme="majorBidi" w:hAnsiTheme="majorBidi" w:cstheme="majorBidi"/>
          <w:color w:val="000000" w:themeColor="text1"/>
        </w:rPr>
        <w:t xml:space="preserve">mplementation </w:t>
      </w:r>
      <w:r w:rsidR="00313836" w:rsidRPr="006D5116">
        <w:rPr>
          <w:rFonts w:asciiTheme="majorBidi" w:hAnsiTheme="majorBidi" w:cstheme="majorBidi"/>
          <w:color w:val="000000" w:themeColor="text1"/>
        </w:rPr>
        <w:t>p</w:t>
      </w:r>
      <w:r w:rsidR="00903D3A" w:rsidRPr="006D5116">
        <w:rPr>
          <w:rFonts w:asciiTheme="majorBidi" w:hAnsiTheme="majorBidi" w:cstheme="majorBidi"/>
          <w:color w:val="000000" w:themeColor="text1"/>
        </w:rPr>
        <w:t xml:space="preserve">hase are categorized </w:t>
      </w:r>
      <w:r w:rsidR="00313836" w:rsidRPr="006D5116">
        <w:rPr>
          <w:rFonts w:asciiTheme="majorBidi" w:hAnsiTheme="majorBidi" w:cstheme="majorBidi"/>
          <w:color w:val="000000" w:themeColor="text1"/>
        </w:rPr>
        <w:t>as</w:t>
      </w:r>
      <w:r w:rsidR="00903D3A" w:rsidRPr="006D5116">
        <w:rPr>
          <w:rFonts w:asciiTheme="majorBidi" w:hAnsiTheme="majorBidi" w:cstheme="majorBidi"/>
          <w:color w:val="000000" w:themeColor="text1"/>
        </w:rPr>
        <w:t xml:space="preserve"> “</w:t>
      </w:r>
      <w:r w:rsidR="00313836" w:rsidRPr="006D5116">
        <w:rPr>
          <w:rFonts w:asciiTheme="majorBidi" w:hAnsiTheme="majorBidi" w:cstheme="majorBidi"/>
          <w:color w:val="000000" w:themeColor="text1"/>
        </w:rPr>
        <w:t>c</w:t>
      </w:r>
      <w:r w:rsidR="00903D3A" w:rsidRPr="006D5116">
        <w:rPr>
          <w:rFonts w:asciiTheme="majorBidi" w:hAnsiTheme="majorBidi" w:cstheme="majorBidi"/>
          <w:color w:val="000000" w:themeColor="text1"/>
        </w:rPr>
        <w:t xml:space="preserve">ore” </w:t>
      </w:r>
      <w:r w:rsidR="00313836" w:rsidRPr="006D5116">
        <w:rPr>
          <w:rFonts w:asciiTheme="majorBidi" w:hAnsiTheme="majorBidi" w:cstheme="majorBidi"/>
          <w:color w:val="000000" w:themeColor="text1"/>
        </w:rPr>
        <w:t xml:space="preserve">or </w:t>
      </w:r>
      <w:r w:rsidR="00903D3A" w:rsidRPr="006D5116">
        <w:rPr>
          <w:rFonts w:asciiTheme="majorBidi" w:hAnsiTheme="majorBidi" w:cstheme="majorBidi"/>
          <w:color w:val="000000" w:themeColor="text1"/>
        </w:rPr>
        <w:t>“</w:t>
      </w:r>
      <w:r w:rsidR="00313836" w:rsidRPr="006D5116">
        <w:rPr>
          <w:rFonts w:asciiTheme="majorBidi" w:hAnsiTheme="majorBidi" w:cstheme="majorBidi"/>
          <w:color w:val="000000" w:themeColor="text1"/>
        </w:rPr>
        <w:t>i</w:t>
      </w:r>
      <w:r w:rsidR="00903D3A" w:rsidRPr="006D5116">
        <w:rPr>
          <w:rFonts w:asciiTheme="majorBidi" w:hAnsiTheme="majorBidi" w:cstheme="majorBidi"/>
          <w:color w:val="000000" w:themeColor="text1"/>
        </w:rPr>
        <w:t>ncentive</w:t>
      </w:r>
      <w:r w:rsidR="00313836" w:rsidRPr="006D5116">
        <w:rPr>
          <w:rFonts w:asciiTheme="majorBidi" w:hAnsiTheme="majorBidi" w:cstheme="majorBidi"/>
          <w:color w:val="000000" w:themeColor="text1"/>
        </w:rPr>
        <w:t>.”</w:t>
      </w:r>
      <w:r w:rsidR="00903D3A" w:rsidRPr="006D5116">
        <w:rPr>
          <w:rFonts w:asciiTheme="majorBidi" w:hAnsiTheme="majorBidi" w:cstheme="majorBidi"/>
          <w:color w:val="000000" w:themeColor="text1"/>
        </w:rPr>
        <w:t xml:space="preserve">  Core deliverables comprise up to 80% of the funding available </w:t>
      </w:r>
      <w:r w:rsidR="00E326D8" w:rsidRPr="006D5116">
        <w:rPr>
          <w:rFonts w:asciiTheme="majorBidi" w:hAnsiTheme="majorBidi" w:cstheme="majorBidi"/>
          <w:color w:val="000000" w:themeColor="text1"/>
        </w:rPr>
        <w:t xml:space="preserve">to a practice or agency. </w:t>
      </w:r>
      <w:r w:rsidR="00903D3A" w:rsidRPr="006D5116">
        <w:rPr>
          <w:rFonts w:asciiTheme="majorBidi" w:hAnsiTheme="majorBidi" w:cstheme="majorBidi"/>
          <w:color w:val="000000" w:themeColor="text1"/>
        </w:rPr>
        <w:t xml:space="preserve"> </w:t>
      </w:r>
    </w:p>
    <w:p w14:paraId="0E5CE69B" w14:textId="1D07866D" w:rsidR="00903D3A" w:rsidRPr="006D5116" w:rsidRDefault="00903D3A" w:rsidP="0094035C">
      <w:pPr>
        <w:spacing w:after="0" w:line="240" w:lineRule="auto"/>
        <w:rPr>
          <w:rFonts w:asciiTheme="majorBidi" w:hAnsiTheme="majorBidi" w:cstheme="majorBidi"/>
          <w:u w:val="single"/>
        </w:rPr>
      </w:pPr>
    </w:p>
    <w:p w14:paraId="1D7BD0A0" w14:textId="38B7F214" w:rsidR="00903D3A" w:rsidRPr="006D5116" w:rsidRDefault="00903D3A" w:rsidP="00903D3A">
      <w:pPr>
        <w:spacing w:after="0" w:line="240" w:lineRule="auto"/>
        <w:rPr>
          <w:rFonts w:asciiTheme="majorBidi" w:hAnsiTheme="majorBidi" w:cstheme="majorBidi"/>
          <w:i/>
        </w:rPr>
      </w:pPr>
      <w:r w:rsidRPr="006D5116">
        <w:rPr>
          <w:rFonts w:asciiTheme="majorBidi" w:hAnsiTheme="majorBidi" w:cstheme="majorBidi"/>
          <w:i/>
        </w:rPr>
        <w:t xml:space="preserve">Core Deliverables for Year </w:t>
      </w:r>
      <w:r w:rsidR="00B20303" w:rsidRPr="006D5116">
        <w:rPr>
          <w:rFonts w:asciiTheme="majorBidi" w:hAnsiTheme="majorBidi" w:cstheme="majorBidi"/>
          <w:i/>
        </w:rPr>
        <w:t>4</w:t>
      </w:r>
      <w:r w:rsidRPr="006D5116">
        <w:rPr>
          <w:rFonts w:asciiTheme="majorBidi" w:hAnsiTheme="majorBidi" w:cstheme="majorBidi"/>
          <w:i/>
        </w:rPr>
        <w:t xml:space="preserve"> of Care+Community+Equity</w:t>
      </w:r>
    </w:p>
    <w:p w14:paraId="3CC8BF0F" w14:textId="77777777" w:rsidR="001F4D13" w:rsidRPr="006D5116" w:rsidRDefault="001F4D13" w:rsidP="00903D3A">
      <w:pPr>
        <w:spacing w:after="0" w:line="240" w:lineRule="auto"/>
        <w:rPr>
          <w:rFonts w:asciiTheme="majorBidi" w:hAnsiTheme="majorBidi" w:cstheme="majorBidi"/>
          <w:i/>
        </w:rPr>
      </w:pPr>
    </w:p>
    <w:p w14:paraId="68C58F24" w14:textId="17D10D75" w:rsidR="00313836" w:rsidRPr="006D5116" w:rsidRDefault="001F4D13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Theme="minorEastAsia" w:hAnsiTheme="majorBidi" w:cstheme="majorBidi"/>
        </w:rPr>
      </w:pPr>
      <w:r w:rsidRPr="006D5116">
        <w:rPr>
          <w:rFonts w:asciiTheme="majorBidi" w:hAnsiTheme="majorBidi" w:cstheme="majorBidi"/>
        </w:rPr>
        <w:t>Meet with your CTC-RI practice facilitator quarterly or more based on meeting performance and scope of work requirements</w:t>
      </w:r>
      <w:r w:rsidR="00313836" w:rsidRPr="006D5116">
        <w:rPr>
          <w:rFonts w:asciiTheme="majorBidi" w:hAnsiTheme="majorBidi" w:cstheme="majorBidi"/>
        </w:rPr>
        <w:t xml:space="preserve"> to </w:t>
      </w:r>
      <w:r w:rsidRPr="006D5116">
        <w:rPr>
          <w:rFonts w:asciiTheme="majorBidi" w:hAnsiTheme="majorBidi" w:cstheme="majorBidi"/>
        </w:rPr>
        <w:t xml:space="preserve">review progress, address barriers, and obtain support for </w:t>
      </w:r>
      <w:r w:rsidR="007E24FE" w:rsidRPr="006D5116">
        <w:rPr>
          <w:rFonts w:asciiTheme="majorBidi" w:hAnsiTheme="majorBidi" w:cstheme="majorBidi"/>
        </w:rPr>
        <w:t>self-measurement of blood pressure</w:t>
      </w:r>
      <w:r w:rsidRPr="006D5116">
        <w:rPr>
          <w:rFonts w:asciiTheme="majorBidi" w:hAnsiTheme="majorBidi" w:cstheme="majorBidi"/>
        </w:rPr>
        <w:t xml:space="preserve"> activities.</w:t>
      </w:r>
    </w:p>
    <w:p w14:paraId="0B61717B" w14:textId="77777777" w:rsidR="00313836" w:rsidRPr="006D5116" w:rsidRDefault="00313836" w:rsidP="006D5116">
      <w:pPr>
        <w:pStyle w:val="ListParagraph"/>
        <w:spacing w:after="0" w:line="240" w:lineRule="auto"/>
        <w:rPr>
          <w:rFonts w:asciiTheme="majorBidi" w:eastAsiaTheme="minorEastAsia" w:hAnsiTheme="majorBidi" w:cstheme="majorBidi"/>
        </w:rPr>
      </w:pPr>
    </w:p>
    <w:p w14:paraId="7901C482" w14:textId="49FDF5A7" w:rsidR="00313836" w:rsidRPr="006D5116" w:rsidRDefault="001F4D13" w:rsidP="00313836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Theme="minorEastAsia" w:hAnsiTheme="majorBidi" w:cstheme="majorBidi"/>
        </w:rPr>
      </w:pPr>
      <w:r w:rsidRPr="006D5116">
        <w:rPr>
          <w:rFonts w:asciiTheme="majorBidi" w:hAnsiTheme="majorBidi" w:cstheme="majorBidi"/>
        </w:rPr>
        <w:t xml:space="preserve">Identify members of the CCE project team.  Include clinical staff and, if applicable, a CHW, who will be involved in the QI project/PDSA and can participate in these meetings. </w:t>
      </w:r>
    </w:p>
    <w:p w14:paraId="7A200C9E" w14:textId="77777777" w:rsidR="00313836" w:rsidRPr="006D5116" w:rsidRDefault="00313836" w:rsidP="006D5116">
      <w:pPr>
        <w:pStyle w:val="ListParagraph"/>
        <w:spacing w:after="0" w:line="240" w:lineRule="auto"/>
        <w:rPr>
          <w:rFonts w:asciiTheme="majorBidi" w:eastAsiaTheme="minorEastAsia" w:hAnsiTheme="majorBidi" w:cstheme="majorBidi"/>
        </w:rPr>
      </w:pPr>
    </w:p>
    <w:p w14:paraId="24B2CDA1" w14:textId="71911742" w:rsidR="005505BF" w:rsidRPr="006D5116" w:rsidRDefault="005505BF" w:rsidP="006D5116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Submit the following data quarterly by the 15</w:t>
      </w:r>
      <w:r w:rsidRPr="006D5116">
        <w:rPr>
          <w:rFonts w:asciiTheme="majorBidi" w:hAnsiTheme="majorBidi" w:cstheme="majorBidi"/>
          <w:vertAlign w:val="superscript"/>
        </w:rPr>
        <w:t>th</w:t>
      </w:r>
      <w:r w:rsidRPr="006D5116">
        <w:rPr>
          <w:rFonts w:asciiTheme="majorBidi" w:hAnsiTheme="majorBidi" w:cstheme="majorBidi"/>
        </w:rPr>
        <w:t xml:space="preserve"> of October, January, April</w:t>
      </w:r>
      <w:r w:rsidR="00592B91" w:rsidRPr="006D5116">
        <w:rPr>
          <w:rFonts w:asciiTheme="majorBidi" w:hAnsiTheme="majorBidi" w:cstheme="majorBidi"/>
        </w:rPr>
        <w:t>, and July</w:t>
      </w:r>
      <w:r w:rsidRPr="006D5116">
        <w:rPr>
          <w:rFonts w:asciiTheme="majorBidi" w:hAnsiTheme="majorBidi" w:cstheme="majorBidi"/>
        </w:rPr>
        <w:t xml:space="preserve"> to the CCE Portal (link and measure specifications to be provided). The final data submission will be due </w:t>
      </w:r>
      <w:r w:rsidR="00592B91" w:rsidRPr="006D5116">
        <w:rPr>
          <w:rFonts w:asciiTheme="majorBidi" w:hAnsiTheme="majorBidi" w:cstheme="majorBidi"/>
        </w:rPr>
        <w:t>September</w:t>
      </w:r>
      <w:r w:rsidRPr="006D5116">
        <w:rPr>
          <w:rFonts w:asciiTheme="majorBidi" w:hAnsiTheme="majorBidi" w:cstheme="majorBidi"/>
        </w:rPr>
        <w:t xml:space="preserve"> 29, 2023 (data through </w:t>
      </w:r>
      <w:r w:rsidR="00592B91" w:rsidRPr="006D5116">
        <w:rPr>
          <w:rFonts w:asciiTheme="majorBidi" w:hAnsiTheme="majorBidi" w:cstheme="majorBidi"/>
        </w:rPr>
        <w:t>September</w:t>
      </w:r>
      <w:r w:rsidRPr="006D5116">
        <w:rPr>
          <w:rFonts w:asciiTheme="majorBidi" w:hAnsiTheme="majorBidi" w:cstheme="majorBidi"/>
        </w:rPr>
        <w:t xml:space="preserve"> 15, 2023). </w:t>
      </w:r>
    </w:p>
    <w:p w14:paraId="7A8757D3" w14:textId="77777777" w:rsidR="005505BF" w:rsidRPr="006D5116" w:rsidRDefault="005505BF" w:rsidP="005505BF">
      <w:pPr>
        <w:pStyle w:val="ListParagraph"/>
        <w:spacing w:after="0" w:line="240" w:lineRule="auto"/>
        <w:rPr>
          <w:rFonts w:asciiTheme="majorBidi" w:hAnsiTheme="majorBidi" w:cstheme="majorBidi"/>
          <w:b/>
        </w:rPr>
      </w:pPr>
    </w:p>
    <w:p w14:paraId="35413EA7" w14:textId="77777777" w:rsidR="005505BF" w:rsidRPr="006D5116" w:rsidRDefault="005505BF" w:rsidP="006D5116">
      <w:pPr>
        <w:pStyle w:val="ListParagraph"/>
        <w:numPr>
          <w:ilvl w:val="1"/>
          <w:numId w:val="42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  <w:b/>
        </w:rPr>
        <w:t>Adult Patient Panel</w:t>
      </w:r>
      <w:r w:rsidRPr="006D5116">
        <w:rPr>
          <w:rFonts w:asciiTheme="majorBidi" w:hAnsiTheme="majorBidi" w:cstheme="majorBidi"/>
        </w:rPr>
        <w:t xml:space="preserve">: Number of adult patients who are active (seen by a primary care provider for at least one medical visit) in the practice in the last 12 months </w:t>
      </w:r>
    </w:p>
    <w:p w14:paraId="4EA68E5A" w14:textId="77777777" w:rsidR="005505BF" w:rsidRPr="006D5116" w:rsidRDefault="005505BF" w:rsidP="005505BF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14:paraId="5F55C830" w14:textId="79B98B0A" w:rsidR="005505BF" w:rsidRPr="006D5116" w:rsidRDefault="005505BF" w:rsidP="006D5116">
      <w:pPr>
        <w:pStyle w:val="ListParagraph"/>
        <w:numPr>
          <w:ilvl w:val="1"/>
          <w:numId w:val="42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  <w:b/>
        </w:rPr>
        <w:t>Hypertension in Control (</w:t>
      </w:r>
      <w:r w:rsidRPr="006D5116">
        <w:rPr>
          <w:rFonts w:asciiTheme="majorBidi" w:hAnsiTheme="majorBidi" w:cstheme="majorBidi"/>
        </w:rPr>
        <w:t>CMS 165v</w:t>
      </w:r>
      <w:r w:rsidR="00E81C8C">
        <w:rPr>
          <w:rFonts w:asciiTheme="majorBidi" w:hAnsiTheme="majorBidi" w:cstheme="majorBidi"/>
        </w:rPr>
        <w:t>10</w:t>
      </w:r>
      <w:r w:rsidRPr="006D5116">
        <w:rPr>
          <w:rFonts w:asciiTheme="majorBidi" w:hAnsiTheme="majorBidi" w:cstheme="majorBidi"/>
        </w:rPr>
        <w:t xml:space="preserve">): Percent of patients whose blood pressure was adequately controlled during the measurement period (&lt;140/90mmHg) </w:t>
      </w:r>
    </w:p>
    <w:p w14:paraId="78EDD571" w14:textId="77777777" w:rsidR="005505BF" w:rsidRPr="006D5116" w:rsidRDefault="005505BF" w:rsidP="005505BF">
      <w:pPr>
        <w:spacing w:after="0" w:line="240" w:lineRule="auto"/>
        <w:rPr>
          <w:rFonts w:asciiTheme="majorBidi" w:hAnsiTheme="majorBidi" w:cstheme="majorBidi"/>
        </w:rPr>
      </w:pPr>
    </w:p>
    <w:p w14:paraId="212F5E90" w14:textId="26954F7B" w:rsidR="00D370F1" w:rsidRPr="006D5116" w:rsidRDefault="005505BF" w:rsidP="00D370F1">
      <w:pPr>
        <w:pStyle w:val="ListParagraph"/>
        <w:numPr>
          <w:ilvl w:val="1"/>
          <w:numId w:val="42"/>
        </w:numPr>
        <w:rPr>
          <w:rFonts w:asciiTheme="majorBidi" w:eastAsia="Times New Roman" w:hAnsiTheme="majorBidi" w:cstheme="majorBidi"/>
        </w:rPr>
      </w:pPr>
      <w:r w:rsidRPr="006D5116">
        <w:rPr>
          <w:rFonts w:asciiTheme="majorBidi" w:hAnsiTheme="majorBidi" w:cstheme="majorBidi"/>
          <w:b/>
        </w:rPr>
        <w:t>Elevated Blood Pressure without Hypertension Diagnosis</w:t>
      </w:r>
      <w:r w:rsidRPr="006D5116">
        <w:rPr>
          <w:rFonts w:asciiTheme="majorBidi" w:hAnsiTheme="majorBidi" w:cstheme="majorBidi"/>
        </w:rPr>
        <w:t xml:space="preserve">: Number of patients </w:t>
      </w:r>
      <w:r w:rsidR="00313836" w:rsidRPr="006D5116">
        <w:rPr>
          <w:rFonts w:asciiTheme="majorBidi" w:eastAsia="Times New Roman" w:hAnsiTheme="majorBidi" w:cstheme="majorBidi"/>
        </w:rPr>
        <w:t>during the past 12 months</w:t>
      </w:r>
      <w:r w:rsidR="00313836" w:rsidRPr="006D5116">
        <w:rPr>
          <w:rFonts w:asciiTheme="majorBidi" w:hAnsiTheme="majorBidi" w:cstheme="majorBidi"/>
        </w:rPr>
        <w:t xml:space="preserve"> </w:t>
      </w:r>
      <w:r w:rsidRPr="006D5116">
        <w:rPr>
          <w:rFonts w:asciiTheme="majorBidi" w:hAnsiTheme="majorBidi" w:cstheme="majorBidi"/>
        </w:rPr>
        <w:t xml:space="preserve">who do not have a diagnosis of hypertension </w:t>
      </w:r>
      <w:r w:rsidR="00D370F1" w:rsidRPr="006D5116">
        <w:rPr>
          <w:rFonts w:asciiTheme="majorBidi" w:hAnsiTheme="majorBidi" w:cstheme="majorBidi"/>
        </w:rPr>
        <w:t xml:space="preserve">but </w:t>
      </w:r>
      <w:r w:rsidR="00313836" w:rsidRPr="006D5116">
        <w:rPr>
          <w:rFonts w:asciiTheme="majorBidi" w:hAnsiTheme="majorBidi" w:cstheme="majorBidi"/>
        </w:rPr>
        <w:t>who have had</w:t>
      </w:r>
      <w:r w:rsidRPr="006D5116">
        <w:rPr>
          <w:rFonts w:asciiTheme="majorBidi" w:hAnsiTheme="majorBidi" w:cstheme="majorBidi"/>
        </w:rPr>
        <w:t xml:space="preserve"> two or more blood pressure readings &gt; 140 mmHg SBP and/or &gt;90 mmHg DBP</w:t>
      </w:r>
      <w:r w:rsidRPr="006D5116">
        <w:rPr>
          <w:rFonts w:asciiTheme="majorBidi" w:eastAsia="Times New Roman" w:hAnsiTheme="majorBidi" w:cstheme="majorBidi"/>
        </w:rPr>
        <w:t>, including the most recent visit.</w:t>
      </w:r>
    </w:p>
    <w:p w14:paraId="66D4481B" w14:textId="77777777" w:rsidR="00D370F1" w:rsidRPr="006D5116" w:rsidRDefault="00D370F1" w:rsidP="006D5116">
      <w:pPr>
        <w:pStyle w:val="ListParagraph"/>
        <w:ind w:left="1440"/>
        <w:rPr>
          <w:rFonts w:asciiTheme="majorBidi" w:eastAsia="Times New Roman" w:hAnsiTheme="majorBidi" w:cstheme="majorBidi"/>
        </w:rPr>
      </w:pPr>
    </w:p>
    <w:p w14:paraId="4AB2BB07" w14:textId="32E9DA08" w:rsidR="00D370F1" w:rsidRPr="006D5116" w:rsidRDefault="005505BF" w:rsidP="006D5116">
      <w:pPr>
        <w:pStyle w:val="ListParagraph"/>
        <w:numPr>
          <w:ilvl w:val="1"/>
          <w:numId w:val="42"/>
        </w:numPr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  <w:b/>
        </w:rPr>
        <w:t>Patient Submission of Blood Pressure Readings</w:t>
      </w:r>
      <w:r w:rsidRPr="006D5116">
        <w:rPr>
          <w:rFonts w:asciiTheme="majorBidi" w:hAnsiTheme="majorBidi" w:cstheme="majorBidi"/>
        </w:rPr>
        <w:t xml:space="preserve">: Percent of patients with a diagnosis of hypertension who were advised by their provider </w:t>
      </w:r>
      <w:r w:rsidR="00D370F1" w:rsidRPr="006D5116">
        <w:rPr>
          <w:rFonts w:asciiTheme="majorBidi" w:hAnsiTheme="majorBidi" w:cstheme="majorBidi"/>
        </w:rPr>
        <w:t>participating in the SMBP program</w:t>
      </w:r>
      <w:r w:rsidRPr="006D5116">
        <w:rPr>
          <w:rFonts w:asciiTheme="majorBidi" w:hAnsiTheme="majorBidi" w:cstheme="majorBidi"/>
        </w:rPr>
        <w:t xml:space="preserve"> who have submitted their blood pressure readings to their provider at least once during the measurement period.</w:t>
      </w:r>
    </w:p>
    <w:p w14:paraId="215643C1" w14:textId="77777777" w:rsidR="00D370F1" w:rsidRPr="006D5116" w:rsidRDefault="00D370F1" w:rsidP="00D370F1">
      <w:pPr>
        <w:spacing w:after="0" w:line="240" w:lineRule="auto"/>
        <w:ind w:left="720"/>
        <w:rPr>
          <w:rFonts w:asciiTheme="majorBidi" w:hAnsiTheme="majorBidi" w:cstheme="majorBidi"/>
        </w:rPr>
      </w:pPr>
    </w:p>
    <w:p w14:paraId="7AE737D0" w14:textId="6A7C2063" w:rsidR="00654455" w:rsidRPr="006D5116" w:rsidRDefault="00654455" w:rsidP="006D5116">
      <w:pPr>
        <w:pStyle w:val="ListParagraph"/>
        <w:numPr>
          <w:ilvl w:val="0"/>
          <w:numId w:val="33"/>
        </w:numPr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Attend and participate at quarterly CCE best practice sharing meetings (dates TBD in September</w:t>
      </w:r>
      <w:r w:rsidR="0040599E" w:rsidRPr="006D5116">
        <w:rPr>
          <w:rFonts w:asciiTheme="majorBidi" w:hAnsiTheme="majorBidi" w:cstheme="majorBidi"/>
        </w:rPr>
        <w:t xml:space="preserve"> 2022</w:t>
      </w:r>
      <w:r w:rsidRPr="006D5116">
        <w:rPr>
          <w:rFonts w:asciiTheme="majorBidi" w:hAnsiTheme="majorBidi" w:cstheme="majorBidi"/>
        </w:rPr>
        <w:t>, December</w:t>
      </w:r>
      <w:r w:rsidR="0040599E" w:rsidRPr="006D5116">
        <w:rPr>
          <w:rFonts w:asciiTheme="majorBidi" w:hAnsiTheme="majorBidi" w:cstheme="majorBidi"/>
        </w:rPr>
        <w:t xml:space="preserve"> 2022</w:t>
      </w:r>
      <w:r w:rsidRPr="006D5116">
        <w:rPr>
          <w:rFonts w:asciiTheme="majorBidi" w:hAnsiTheme="majorBidi" w:cstheme="majorBidi"/>
        </w:rPr>
        <w:t>, March</w:t>
      </w:r>
      <w:r w:rsidR="0040599E" w:rsidRPr="006D5116">
        <w:rPr>
          <w:rFonts w:asciiTheme="majorBidi" w:hAnsiTheme="majorBidi" w:cstheme="majorBidi"/>
        </w:rPr>
        <w:t xml:space="preserve"> 2023, June 2023</w:t>
      </w:r>
      <w:r w:rsidRPr="006D5116">
        <w:rPr>
          <w:rFonts w:asciiTheme="majorBidi" w:hAnsiTheme="majorBidi" w:cstheme="majorBidi"/>
        </w:rPr>
        <w:t xml:space="preserve">, and </w:t>
      </w:r>
      <w:r w:rsidR="0040599E" w:rsidRPr="006D5116">
        <w:rPr>
          <w:rFonts w:asciiTheme="majorBidi" w:hAnsiTheme="majorBidi" w:cstheme="majorBidi"/>
        </w:rPr>
        <w:t>September 2023).</w:t>
      </w:r>
      <w:r w:rsidR="00D370F1" w:rsidRPr="006D5116">
        <w:rPr>
          <w:rFonts w:asciiTheme="majorBidi" w:hAnsiTheme="majorBidi" w:cstheme="majorBidi"/>
        </w:rPr>
        <w:t xml:space="preserve"> </w:t>
      </w:r>
      <w:r w:rsidRPr="006D5116">
        <w:rPr>
          <w:rFonts w:asciiTheme="majorBidi" w:hAnsiTheme="majorBidi" w:cstheme="majorBidi"/>
        </w:rPr>
        <w:t xml:space="preserve">Please come prepared to discuss best practices and progress on </w:t>
      </w:r>
      <w:r w:rsidR="00D370F1" w:rsidRPr="006D5116">
        <w:rPr>
          <w:rFonts w:asciiTheme="majorBidi" w:hAnsiTheme="majorBidi" w:cstheme="majorBidi"/>
        </w:rPr>
        <w:t xml:space="preserve">your </w:t>
      </w:r>
      <w:r w:rsidRPr="006D5116">
        <w:rPr>
          <w:rFonts w:asciiTheme="majorBidi" w:hAnsiTheme="majorBidi" w:cstheme="majorBidi"/>
        </w:rPr>
        <w:t>PDSA</w:t>
      </w:r>
      <w:r w:rsidR="00D370F1" w:rsidRPr="006D5116">
        <w:rPr>
          <w:rFonts w:asciiTheme="majorBidi" w:hAnsiTheme="majorBidi" w:cstheme="majorBidi"/>
        </w:rPr>
        <w:t xml:space="preserve">; this discussion </w:t>
      </w:r>
      <w:r w:rsidRPr="006D5116">
        <w:rPr>
          <w:rFonts w:asciiTheme="majorBidi" w:hAnsiTheme="majorBidi" w:cstheme="majorBidi"/>
        </w:rPr>
        <w:t xml:space="preserve">will be incorporated into each meeting. Invite members of the care teams to participate in these meetings. </w:t>
      </w:r>
    </w:p>
    <w:p w14:paraId="7F7CE9C3" w14:textId="77777777" w:rsidR="00D370F1" w:rsidRPr="006D5116" w:rsidRDefault="00D370F1" w:rsidP="006D5116">
      <w:pPr>
        <w:pStyle w:val="ListParagraph"/>
        <w:ind w:left="810"/>
        <w:rPr>
          <w:rFonts w:asciiTheme="majorBidi" w:hAnsiTheme="majorBidi" w:cstheme="majorBidi"/>
        </w:rPr>
      </w:pPr>
    </w:p>
    <w:p w14:paraId="0825B509" w14:textId="350EE109" w:rsidR="00F52E26" w:rsidRPr="006D5116" w:rsidRDefault="00F52E26" w:rsidP="006D5116">
      <w:pPr>
        <w:pStyle w:val="ListParagraph"/>
        <w:numPr>
          <w:ilvl w:val="0"/>
          <w:numId w:val="33"/>
        </w:numPr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Meet with your CTC practice facilitator to draft and finalize your Year 4 QI projects/PDSA and aim statements. Your PDSA and aim statements must address improving your SMBP program. We strongly suggest using the PDSA template that will be provided by your practice facilitator. </w:t>
      </w:r>
    </w:p>
    <w:p w14:paraId="299EC222" w14:textId="77777777" w:rsidR="00F52E26" w:rsidRPr="006D5116" w:rsidRDefault="00F52E26" w:rsidP="00F52E26">
      <w:pPr>
        <w:spacing w:after="0" w:line="240" w:lineRule="auto"/>
        <w:rPr>
          <w:rFonts w:asciiTheme="majorBidi" w:hAnsiTheme="majorBidi" w:cstheme="majorBidi"/>
        </w:rPr>
      </w:pPr>
    </w:p>
    <w:p w14:paraId="4A8A5E1B" w14:textId="16DBE76B" w:rsidR="00F52E26" w:rsidRPr="006D5116" w:rsidRDefault="00C40893" w:rsidP="006D5116">
      <w:pPr>
        <w:spacing w:after="0" w:line="240" w:lineRule="auto"/>
        <w:ind w:left="720"/>
        <w:rPr>
          <w:rFonts w:asciiTheme="majorBidi" w:hAnsiTheme="majorBidi" w:cstheme="majorBidi"/>
        </w:rPr>
      </w:pPr>
      <w:bookmarkStart w:id="6" w:name="_Hlk95753189"/>
      <w:r>
        <w:rPr>
          <w:rFonts w:asciiTheme="majorBidi" w:hAnsiTheme="majorBidi" w:cstheme="majorBidi"/>
        </w:rPr>
        <w:t>W</w:t>
      </w:r>
      <w:r w:rsidR="00F52E26" w:rsidRPr="006D5116">
        <w:rPr>
          <w:rFonts w:asciiTheme="majorBidi" w:hAnsiTheme="majorBidi" w:cstheme="majorBidi"/>
        </w:rPr>
        <w:t>hile the completed QI project/PDSA will be submitted in June 2023, reporting on its components will take place throughout the year.</w:t>
      </w:r>
    </w:p>
    <w:p w14:paraId="6CA3C3DA" w14:textId="77777777" w:rsidR="00D370F1" w:rsidRPr="006D5116" w:rsidRDefault="00D370F1" w:rsidP="00D370F1">
      <w:pPr>
        <w:spacing w:after="0" w:line="240" w:lineRule="auto"/>
        <w:rPr>
          <w:rFonts w:asciiTheme="majorBidi" w:hAnsiTheme="majorBidi" w:cstheme="majorBidi"/>
        </w:rPr>
      </w:pPr>
    </w:p>
    <w:p w14:paraId="3948FDC9" w14:textId="582FA648" w:rsidR="00F52E26" w:rsidRPr="006D5116" w:rsidRDefault="00F52E26" w:rsidP="006D5116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During July and August, develop a timeline and due dates for each component of the QI project/PDSA</w:t>
      </w:r>
    </w:p>
    <w:p w14:paraId="39AAB88B" w14:textId="77777777" w:rsidR="006C56C7" w:rsidRPr="006D5116" w:rsidRDefault="006C56C7" w:rsidP="006D5116">
      <w:pPr>
        <w:pStyle w:val="ListParagraph"/>
        <w:rPr>
          <w:rFonts w:asciiTheme="majorBidi" w:hAnsiTheme="majorBidi" w:cstheme="majorBidi"/>
        </w:rPr>
      </w:pPr>
    </w:p>
    <w:p w14:paraId="407EB51E" w14:textId="77777777" w:rsidR="006C56C7" w:rsidRPr="006D5116" w:rsidRDefault="006C56C7" w:rsidP="006C56C7">
      <w:pPr>
        <w:pStyle w:val="ListParagraph"/>
        <w:spacing w:after="0" w:line="240" w:lineRule="auto"/>
        <w:ind w:left="1800"/>
        <w:rPr>
          <w:rFonts w:asciiTheme="majorBidi" w:hAnsiTheme="majorBidi" w:cstheme="majorBidi"/>
        </w:rPr>
      </w:pPr>
    </w:p>
    <w:p w14:paraId="57F716BD" w14:textId="77777777" w:rsidR="006C56C7" w:rsidRPr="006D5116" w:rsidRDefault="006C56C7" w:rsidP="006D5116">
      <w:pPr>
        <w:pStyle w:val="ListParagraph"/>
        <w:numPr>
          <w:ilvl w:val="1"/>
          <w:numId w:val="33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Submit the Plan section of the PDSA and the aim statement(s) to RIDOH in September. Plans will be shared during the September best practice sharing meeting</w:t>
      </w:r>
    </w:p>
    <w:p w14:paraId="3D303E81" w14:textId="77777777" w:rsidR="006C56C7" w:rsidRPr="006D5116" w:rsidRDefault="006C56C7" w:rsidP="006D5116">
      <w:pPr>
        <w:pStyle w:val="ListParagraph"/>
        <w:numPr>
          <w:ilvl w:val="1"/>
          <w:numId w:val="33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Summarize and present your test of change during the December and March best practice sharing meetings</w:t>
      </w:r>
    </w:p>
    <w:p w14:paraId="7EDABFA3" w14:textId="77777777" w:rsidR="006C56C7" w:rsidRPr="006D5116" w:rsidRDefault="006C56C7" w:rsidP="006D5116">
      <w:pPr>
        <w:pStyle w:val="ListParagraph"/>
        <w:numPr>
          <w:ilvl w:val="1"/>
          <w:numId w:val="33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Present a final report during the June best practice sharing meeting</w:t>
      </w:r>
    </w:p>
    <w:p w14:paraId="370AF01F" w14:textId="77777777" w:rsidR="006C56C7" w:rsidRPr="006D5116" w:rsidRDefault="006C56C7" w:rsidP="006D5116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25B75F10" w14:textId="0D49C2D9" w:rsidR="00F52E26" w:rsidRPr="006D5116" w:rsidRDefault="00F52E26" w:rsidP="006D5116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The use and incorporation of the American Heart Association’s (AHA) SMBP resources </w:t>
      </w:r>
      <w:r w:rsidR="006C56C7" w:rsidRPr="006D5116">
        <w:rPr>
          <w:rFonts w:asciiTheme="majorBidi" w:hAnsiTheme="majorBidi" w:cstheme="majorBidi"/>
        </w:rPr>
        <w:t xml:space="preserve">are </w:t>
      </w:r>
      <w:r w:rsidRPr="006D5116">
        <w:rPr>
          <w:rFonts w:asciiTheme="majorBidi" w:hAnsiTheme="majorBidi" w:cstheme="majorBidi"/>
        </w:rPr>
        <w:t>encouraged during this time:</w:t>
      </w:r>
    </w:p>
    <w:p w14:paraId="06C6BAB7" w14:textId="77777777" w:rsidR="00F52E26" w:rsidRPr="006D5116" w:rsidRDefault="00F52E26" w:rsidP="00F52E26">
      <w:pPr>
        <w:spacing w:after="0" w:line="240" w:lineRule="auto"/>
        <w:ind w:left="1800"/>
        <w:rPr>
          <w:rFonts w:asciiTheme="majorBidi" w:hAnsiTheme="majorBidi" w:cstheme="majorBidi"/>
        </w:rPr>
      </w:pPr>
    </w:p>
    <w:p w14:paraId="10F5A00D" w14:textId="77777777" w:rsidR="00F52E26" w:rsidRPr="006D5116" w:rsidRDefault="009F15F1" w:rsidP="00F52E26">
      <w:pPr>
        <w:spacing w:after="0" w:line="240" w:lineRule="auto"/>
        <w:ind w:left="1800"/>
        <w:rPr>
          <w:rFonts w:asciiTheme="majorBidi" w:hAnsiTheme="majorBidi" w:cstheme="majorBidi"/>
        </w:rPr>
      </w:pPr>
      <w:hyperlink r:id="rId11" w:history="1">
        <w:r w:rsidR="00F52E26" w:rsidRPr="006D5116">
          <w:rPr>
            <w:rStyle w:val="Hyperlink"/>
            <w:rFonts w:asciiTheme="majorBidi" w:hAnsiTheme="majorBidi" w:cstheme="majorBidi"/>
          </w:rPr>
          <w:t>HTN Control Practice Assessment</w:t>
        </w:r>
      </w:hyperlink>
    </w:p>
    <w:p w14:paraId="3A09D496" w14:textId="77777777" w:rsidR="00F52E26" w:rsidRPr="006D5116" w:rsidRDefault="00F52E26" w:rsidP="00F52E26">
      <w:pPr>
        <w:spacing w:after="0" w:line="240" w:lineRule="auto"/>
        <w:ind w:left="1800"/>
        <w:rPr>
          <w:rFonts w:asciiTheme="majorBidi" w:hAnsiTheme="majorBidi" w:cstheme="majorBidi"/>
        </w:rPr>
      </w:pPr>
    </w:p>
    <w:p w14:paraId="262D4B5F" w14:textId="77777777" w:rsidR="00F52E26" w:rsidRPr="006D5116" w:rsidRDefault="009F15F1" w:rsidP="00F52E26">
      <w:pPr>
        <w:spacing w:after="0" w:line="240" w:lineRule="auto"/>
        <w:ind w:left="1800"/>
        <w:rPr>
          <w:rFonts w:asciiTheme="majorBidi" w:hAnsiTheme="majorBidi" w:cstheme="majorBidi"/>
        </w:rPr>
      </w:pPr>
      <w:hyperlink r:id="rId12" w:history="1">
        <w:r w:rsidR="00F52E26" w:rsidRPr="006D5116">
          <w:rPr>
            <w:rStyle w:val="Hyperlink"/>
            <w:rFonts w:asciiTheme="majorBidi" w:hAnsiTheme="majorBidi" w:cstheme="majorBidi"/>
          </w:rPr>
          <w:t>Getting Prepared</w:t>
        </w:r>
      </w:hyperlink>
      <w:r w:rsidR="00F52E26" w:rsidRPr="006D5116">
        <w:rPr>
          <w:rFonts w:asciiTheme="majorBidi" w:hAnsiTheme="majorBidi" w:cstheme="majorBidi"/>
        </w:rPr>
        <w:t xml:space="preserve"> </w:t>
      </w:r>
    </w:p>
    <w:p w14:paraId="32B13CED" w14:textId="77777777" w:rsidR="00F52E26" w:rsidRPr="006D5116" w:rsidRDefault="00F52E26" w:rsidP="00F52E26">
      <w:pPr>
        <w:spacing w:after="0" w:line="240" w:lineRule="auto"/>
        <w:ind w:left="1800"/>
        <w:rPr>
          <w:rFonts w:asciiTheme="majorBidi" w:hAnsiTheme="majorBidi" w:cstheme="majorBidi"/>
        </w:rPr>
      </w:pPr>
    </w:p>
    <w:p w14:paraId="547B1987" w14:textId="77777777" w:rsidR="00F52E26" w:rsidRPr="006D5116" w:rsidRDefault="009F15F1" w:rsidP="00F52E26">
      <w:pPr>
        <w:spacing w:after="0" w:line="240" w:lineRule="auto"/>
        <w:ind w:left="1800"/>
        <w:rPr>
          <w:rFonts w:asciiTheme="majorBidi" w:hAnsiTheme="majorBidi" w:cstheme="majorBidi"/>
        </w:rPr>
      </w:pPr>
      <w:hyperlink r:id="rId13" w:history="1">
        <w:r w:rsidR="00F52E26" w:rsidRPr="006D5116">
          <w:rPr>
            <w:rStyle w:val="Hyperlink"/>
            <w:rFonts w:asciiTheme="majorBidi" w:hAnsiTheme="majorBidi" w:cstheme="majorBidi"/>
          </w:rPr>
          <w:t>Loaning Devices</w:t>
        </w:r>
      </w:hyperlink>
      <w:r w:rsidR="00F52E26" w:rsidRPr="006D5116">
        <w:rPr>
          <w:rFonts w:asciiTheme="majorBidi" w:hAnsiTheme="majorBidi" w:cstheme="majorBidi"/>
        </w:rPr>
        <w:t xml:space="preserve"> </w:t>
      </w:r>
    </w:p>
    <w:p w14:paraId="118F2A2F" w14:textId="77777777" w:rsidR="00F52E26" w:rsidRPr="006D5116" w:rsidRDefault="00F52E26" w:rsidP="00F52E26">
      <w:pPr>
        <w:spacing w:after="0" w:line="240" w:lineRule="auto"/>
        <w:ind w:left="1800"/>
        <w:rPr>
          <w:rFonts w:asciiTheme="majorBidi" w:hAnsiTheme="majorBidi" w:cstheme="majorBidi"/>
        </w:rPr>
      </w:pPr>
    </w:p>
    <w:p w14:paraId="3C521442" w14:textId="77777777" w:rsidR="00F52E26" w:rsidRPr="006D5116" w:rsidRDefault="009F15F1" w:rsidP="00F52E26">
      <w:pPr>
        <w:spacing w:after="0" w:line="240" w:lineRule="auto"/>
        <w:ind w:left="1800"/>
        <w:rPr>
          <w:rFonts w:asciiTheme="majorBidi" w:hAnsiTheme="majorBidi" w:cstheme="majorBidi"/>
        </w:rPr>
      </w:pPr>
      <w:hyperlink r:id="rId14" w:history="1">
        <w:r w:rsidR="00F52E26" w:rsidRPr="006D5116">
          <w:rPr>
            <w:rStyle w:val="Hyperlink"/>
            <w:rFonts w:asciiTheme="majorBidi" w:hAnsiTheme="majorBidi" w:cstheme="majorBidi"/>
          </w:rPr>
          <w:t>Training Patients</w:t>
        </w:r>
      </w:hyperlink>
      <w:r w:rsidR="00F52E26" w:rsidRPr="006D5116">
        <w:rPr>
          <w:rFonts w:asciiTheme="majorBidi" w:hAnsiTheme="majorBidi" w:cstheme="majorBidi"/>
        </w:rPr>
        <w:t xml:space="preserve"> </w:t>
      </w:r>
    </w:p>
    <w:p w14:paraId="33DFF0E2" w14:textId="77777777" w:rsidR="00F52E26" w:rsidRPr="006D5116" w:rsidRDefault="00F52E26" w:rsidP="00F52E26">
      <w:pPr>
        <w:spacing w:after="0" w:line="240" w:lineRule="auto"/>
        <w:ind w:left="1800"/>
        <w:rPr>
          <w:rFonts w:asciiTheme="majorBidi" w:hAnsiTheme="majorBidi" w:cstheme="majorBidi"/>
        </w:rPr>
      </w:pPr>
    </w:p>
    <w:p w14:paraId="3128DDD4" w14:textId="77777777" w:rsidR="00F52E26" w:rsidRPr="006D5116" w:rsidRDefault="009F15F1" w:rsidP="00F52E26">
      <w:pPr>
        <w:spacing w:after="0" w:line="240" w:lineRule="auto"/>
        <w:ind w:left="1800"/>
        <w:rPr>
          <w:rFonts w:asciiTheme="majorBidi" w:hAnsiTheme="majorBidi" w:cstheme="majorBidi"/>
        </w:rPr>
      </w:pPr>
      <w:hyperlink r:id="rId15" w:history="1">
        <w:r w:rsidR="00F52E26" w:rsidRPr="006D5116">
          <w:rPr>
            <w:rStyle w:val="Hyperlink"/>
            <w:rFonts w:asciiTheme="majorBidi" w:hAnsiTheme="majorBidi" w:cstheme="majorBidi"/>
          </w:rPr>
          <w:t>Collecting Data</w:t>
        </w:r>
      </w:hyperlink>
      <w:r w:rsidR="00F52E26" w:rsidRPr="006D5116">
        <w:rPr>
          <w:rFonts w:asciiTheme="majorBidi" w:hAnsiTheme="majorBidi" w:cstheme="majorBidi"/>
        </w:rPr>
        <w:t xml:space="preserve"> </w:t>
      </w:r>
    </w:p>
    <w:p w14:paraId="07D2CBAF" w14:textId="77777777" w:rsidR="00F52E26" w:rsidRPr="006D5116" w:rsidRDefault="00F52E26" w:rsidP="00F52E26">
      <w:pPr>
        <w:spacing w:after="0" w:line="240" w:lineRule="auto"/>
        <w:ind w:left="1800"/>
        <w:rPr>
          <w:rFonts w:asciiTheme="majorBidi" w:hAnsiTheme="majorBidi" w:cstheme="majorBidi"/>
        </w:rPr>
      </w:pPr>
    </w:p>
    <w:p w14:paraId="3CDCBEDC" w14:textId="77777777" w:rsidR="00F52E26" w:rsidRPr="006D5116" w:rsidRDefault="009F15F1" w:rsidP="00F52E26">
      <w:pPr>
        <w:spacing w:after="0" w:line="240" w:lineRule="auto"/>
        <w:ind w:left="1800"/>
        <w:rPr>
          <w:rFonts w:asciiTheme="majorBidi" w:hAnsiTheme="majorBidi" w:cstheme="majorBidi"/>
        </w:rPr>
      </w:pPr>
      <w:hyperlink r:id="rId16" w:history="1">
        <w:r w:rsidR="00F52E26" w:rsidRPr="006D5116">
          <w:rPr>
            <w:rStyle w:val="Hyperlink"/>
            <w:rFonts w:asciiTheme="majorBidi" w:hAnsiTheme="majorBidi" w:cstheme="majorBidi"/>
          </w:rPr>
          <w:t>Managing your Devices</w:t>
        </w:r>
      </w:hyperlink>
      <w:r w:rsidR="00F52E26" w:rsidRPr="006D5116">
        <w:rPr>
          <w:rFonts w:asciiTheme="majorBidi" w:hAnsiTheme="majorBidi" w:cstheme="majorBidi"/>
        </w:rPr>
        <w:t xml:space="preserve"> </w:t>
      </w:r>
    </w:p>
    <w:bookmarkEnd w:id="6"/>
    <w:p w14:paraId="2CFFB3B8" w14:textId="77777777" w:rsidR="00197A79" w:rsidRPr="006D5116" w:rsidRDefault="00197A79" w:rsidP="00453DAF">
      <w:pPr>
        <w:spacing w:after="0" w:line="240" w:lineRule="auto"/>
        <w:rPr>
          <w:rFonts w:asciiTheme="majorBidi" w:hAnsiTheme="majorBidi" w:cstheme="majorBidi"/>
        </w:rPr>
      </w:pPr>
    </w:p>
    <w:p w14:paraId="0A7C24A4" w14:textId="78D99CA1" w:rsidR="00D60DCF" w:rsidRPr="006D5116" w:rsidRDefault="00D60DCF" w:rsidP="006D5116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If needed</w:t>
      </w:r>
      <w:r w:rsidR="00E338CA" w:rsidRPr="006D5116">
        <w:rPr>
          <w:rFonts w:asciiTheme="majorBidi" w:hAnsiTheme="majorBidi" w:cstheme="majorBidi"/>
        </w:rPr>
        <w:t>/desired</w:t>
      </w:r>
      <w:r w:rsidRPr="006D5116">
        <w:rPr>
          <w:rFonts w:asciiTheme="majorBidi" w:hAnsiTheme="majorBidi" w:cstheme="majorBidi"/>
        </w:rPr>
        <w:t xml:space="preserve">, identify appropriate staff to attend a training on proper blood pressure </w:t>
      </w:r>
      <w:r w:rsidR="00E338CA" w:rsidRPr="006D5116">
        <w:rPr>
          <w:rFonts w:asciiTheme="majorBidi" w:hAnsiTheme="majorBidi" w:cstheme="majorBidi"/>
        </w:rPr>
        <w:t xml:space="preserve">measurement </w:t>
      </w:r>
      <w:r w:rsidRPr="006D5116">
        <w:rPr>
          <w:rFonts w:asciiTheme="majorBidi" w:hAnsiTheme="majorBidi" w:cstheme="majorBidi"/>
        </w:rPr>
        <w:t xml:space="preserve">techniques and a review of SMBP concepts. Trainer and training date(s) TBD. </w:t>
      </w:r>
    </w:p>
    <w:p w14:paraId="17DE71EA" w14:textId="4793F4F9" w:rsidR="006C2F2F" w:rsidRPr="006D5116" w:rsidRDefault="006C2F2F" w:rsidP="0094035C">
      <w:pPr>
        <w:spacing w:after="0" w:line="240" w:lineRule="auto"/>
        <w:rPr>
          <w:rFonts w:asciiTheme="majorBidi" w:hAnsiTheme="majorBidi" w:cstheme="majorBidi"/>
          <w:u w:val="single"/>
        </w:rPr>
      </w:pPr>
    </w:p>
    <w:p w14:paraId="00873F19" w14:textId="1B7E159C" w:rsidR="00AB620F" w:rsidRPr="006D5116" w:rsidRDefault="00AB620F" w:rsidP="006D5116">
      <w:pPr>
        <w:spacing w:after="0" w:line="240" w:lineRule="auto"/>
        <w:ind w:left="1080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The use and incorporation of AHA’s </w:t>
      </w:r>
      <w:hyperlink r:id="rId17" w:history="1">
        <w:r w:rsidRPr="006D5116">
          <w:rPr>
            <w:rStyle w:val="Hyperlink"/>
            <w:rFonts w:asciiTheme="majorBidi" w:hAnsiTheme="majorBidi" w:cstheme="majorBidi"/>
          </w:rPr>
          <w:t>Technique Quick Check</w:t>
        </w:r>
      </w:hyperlink>
      <w:r w:rsidRPr="006D5116">
        <w:rPr>
          <w:rFonts w:asciiTheme="majorBidi" w:hAnsiTheme="majorBidi" w:cstheme="majorBidi"/>
        </w:rPr>
        <w:t xml:space="preserve"> and </w:t>
      </w:r>
      <w:hyperlink r:id="rId18" w:history="1">
        <w:r w:rsidRPr="006D5116">
          <w:rPr>
            <w:rStyle w:val="Hyperlink"/>
            <w:rFonts w:asciiTheme="majorBidi" w:hAnsiTheme="majorBidi" w:cstheme="majorBidi"/>
          </w:rPr>
          <w:t>other resources</w:t>
        </w:r>
      </w:hyperlink>
      <w:r w:rsidRPr="006D5116">
        <w:rPr>
          <w:rFonts w:asciiTheme="majorBidi" w:hAnsiTheme="majorBidi" w:cstheme="majorBidi"/>
        </w:rPr>
        <w:t xml:space="preserve"> is encouraged. </w:t>
      </w:r>
    </w:p>
    <w:p w14:paraId="1229BE7D" w14:textId="74F89C0B" w:rsidR="00AB620F" w:rsidRPr="006D5116" w:rsidRDefault="00AB620F" w:rsidP="00AB620F">
      <w:pPr>
        <w:spacing w:after="0" w:line="240" w:lineRule="auto"/>
        <w:ind w:left="720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 </w:t>
      </w:r>
    </w:p>
    <w:p w14:paraId="673BD2E6" w14:textId="1FFEE85E" w:rsidR="000F717E" w:rsidRPr="006D5116" w:rsidRDefault="00E71E7E" w:rsidP="00C27E46">
      <w:pPr>
        <w:spacing w:after="0" w:line="240" w:lineRule="auto"/>
        <w:ind w:left="720"/>
        <w:rPr>
          <w:rFonts w:asciiTheme="majorBidi" w:hAnsiTheme="majorBidi" w:cstheme="majorBidi"/>
          <w:u w:val="single"/>
        </w:rPr>
      </w:pPr>
      <w:r w:rsidRPr="006D5116">
        <w:rPr>
          <w:rFonts w:asciiTheme="majorBidi" w:hAnsiTheme="majorBidi" w:cstheme="majorBidi"/>
          <w:u w:val="single"/>
        </w:rPr>
        <w:t>Note</w:t>
      </w:r>
      <w:r w:rsidRPr="006D5116">
        <w:rPr>
          <w:rFonts w:asciiTheme="majorBidi" w:hAnsiTheme="majorBidi" w:cstheme="majorBidi"/>
        </w:rPr>
        <w:t xml:space="preserve">: If applicable, as it relates to your SMBP policy, describe how WISEWOMAN eligible patients are identified and referred to SMBP within your organization. WISEWOMAN </w:t>
      </w:r>
      <w:r w:rsidR="006C56C7" w:rsidRPr="006D5116">
        <w:rPr>
          <w:rFonts w:asciiTheme="majorBidi" w:hAnsiTheme="majorBidi" w:cstheme="majorBidi"/>
        </w:rPr>
        <w:t>p</w:t>
      </w:r>
      <w:r w:rsidRPr="006D5116">
        <w:rPr>
          <w:rFonts w:asciiTheme="majorBidi" w:hAnsiTheme="majorBidi" w:cstheme="majorBidi"/>
        </w:rPr>
        <w:t xml:space="preserve">atient </w:t>
      </w:r>
      <w:r w:rsidR="006C56C7" w:rsidRPr="006D5116">
        <w:rPr>
          <w:rFonts w:asciiTheme="majorBidi" w:hAnsiTheme="majorBidi" w:cstheme="majorBidi"/>
        </w:rPr>
        <w:t>n</w:t>
      </w:r>
      <w:r w:rsidRPr="006D5116">
        <w:rPr>
          <w:rFonts w:asciiTheme="majorBidi" w:hAnsiTheme="majorBidi" w:cstheme="majorBidi"/>
        </w:rPr>
        <w:t>avigators can assist in referring these patients to SMBP.</w:t>
      </w:r>
    </w:p>
    <w:p w14:paraId="782BC92B" w14:textId="77777777" w:rsidR="00C40893" w:rsidRPr="006D5116" w:rsidRDefault="00C40893" w:rsidP="00AE3DE8">
      <w:pPr>
        <w:spacing w:after="0" w:line="240" w:lineRule="auto"/>
        <w:rPr>
          <w:rFonts w:asciiTheme="majorBidi" w:hAnsiTheme="majorBidi" w:cstheme="majorBidi"/>
          <w:i/>
        </w:rPr>
      </w:pPr>
    </w:p>
    <w:p w14:paraId="134D3F94" w14:textId="7A85E2E2" w:rsidR="00AE3DE8" w:rsidRPr="006D5116" w:rsidRDefault="00AE3DE8" w:rsidP="006D5116">
      <w:pPr>
        <w:pStyle w:val="ListParagraph"/>
        <w:numPr>
          <w:ilvl w:val="0"/>
          <w:numId w:val="33"/>
        </w:numPr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Complete a final evaluation survey, due September 29, 2023.</w:t>
      </w:r>
    </w:p>
    <w:p w14:paraId="66923F07" w14:textId="77777777" w:rsidR="00453DAF" w:rsidRPr="006D5116" w:rsidRDefault="00453DAF" w:rsidP="005226FA">
      <w:pPr>
        <w:spacing w:after="0" w:line="240" w:lineRule="auto"/>
        <w:rPr>
          <w:rFonts w:asciiTheme="majorBidi" w:hAnsiTheme="majorBidi" w:cstheme="majorBidi"/>
          <w:b/>
          <w:u w:val="single"/>
        </w:rPr>
      </w:pPr>
    </w:p>
    <w:p w14:paraId="0D23B2F3" w14:textId="57472B9B" w:rsidR="00580D7F" w:rsidRPr="006D5116" w:rsidRDefault="00580D7F" w:rsidP="00580D7F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u w:val="single"/>
        </w:rPr>
      </w:pPr>
      <w:bookmarkStart w:id="7" w:name="_Hlk34233821"/>
      <w:r w:rsidRPr="006D5116">
        <w:rPr>
          <w:rFonts w:asciiTheme="majorBidi" w:hAnsiTheme="majorBidi" w:cstheme="majorBidi"/>
        </w:rPr>
        <w:t xml:space="preserve">If deliverables cannot be completed by the due dates referenced in the CCE Year 4 </w:t>
      </w:r>
      <w:r w:rsidR="006C56C7" w:rsidRPr="006D5116">
        <w:rPr>
          <w:rFonts w:asciiTheme="majorBidi" w:hAnsiTheme="majorBidi" w:cstheme="majorBidi"/>
        </w:rPr>
        <w:t>p</w:t>
      </w:r>
      <w:r w:rsidRPr="006D5116">
        <w:rPr>
          <w:rFonts w:asciiTheme="majorBidi" w:hAnsiTheme="majorBidi" w:cstheme="majorBidi"/>
        </w:rPr>
        <w:t xml:space="preserve">roject </w:t>
      </w:r>
      <w:r w:rsidR="006C56C7" w:rsidRPr="006D5116">
        <w:rPr>
          <w:rFonts w:asciiTheme="majorBidi" w:hAnsiTheme="majorBidi" w:cstheme="majorBidi"/>
        </w:rPr>
        <w:t>p</w:t>
      </w:r>
      <w:r w:rsidRPr="006D5116">
        <w:rPr>
          <w:rFonts w:asciiTheme="majorBidi" w:hAnsiTheme="majorBidi" w:cstheme="majorBidi"/>
        </w:rPr>
        <w:t xml:space="preserve">lan, practices must notify </w:t>
      </w:r>
      <w:r w:rsidRPr="006D5116">
        <w:rPr>
          <w:rFonts w:asciiTheme="majorBidi" w:hAnsiTheme="majorBidi" w:cstheme="majorBidi"/>
          <w:shd w:val="clear" w:color="auto" w:fill="FFFFFF" w:themeFill="background1"/>
        </w:rPr>
        <w:t>RIDOH’s Quality Improvement Consultant (Jayne Daylor) via email</w:t>
      </w:r>
      <w:r w:rsidRPr="006D5116">
        <w:rPr>
          <w:rFonts w:asciiTheme="majorBidi" w:hAnsiTheme="majorBidi" w:cstheme="majorBidi"/>
        </w:rPr>
        <w:t xml:space="preserve">, preferably in advance. A plan of corrective action may need to be completed and submitted. </w:t>
      </w:r>
    </w:p>
    <w:bookmarkEnd w:id="7"/>
    <w:p w14:paraId="451308DF" w14:textId="77777777" w:rsidR="005226FA" w:rsidRPr="006D5116" w:rsidRDefault="005226FA" w:rsidP="005226FA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22D25C14" w14:textId="6B946F7A" w:rsidR="00E71E7E" w:rsidRPr="006D5116" w:rsidRDefault="00E71E7E" w:rsidP="00E71E7E">
      <w:pPr>
        <w:spacing w:after="0" w:line="240" w:lineRule="auto"/>
        <w:rPr>
          <w:rFonts w:asciiTheme="majorBidi" w:hAnsiTheme="majorBidi" w:cstheme="majorBidi"/>
          <w:i/>
        </w:rPr>
      </w:pPr>
      <w:bookmarkStart w:id="8" w:name="_Hlk31730204"/>
      <w:r w:rsidRPr="006D5116">
        <w:rPr>
          <w:rFonts w:asciiTheme="majorBidi" w:hAnsiTheme="majorBidi" w:cstheme="majorBidi"/>
          <w:i/>
        </w:rPr>
        <w:t xml:space="preserve">Incentive Deliverables for Year </w:t>
      </w:r>
      <w:r w:rsidR="004C588E" w:rsidRPr="006D5116">
        <w:rPr>
          <w:rFonts w:asciiTheme="majorBidi" w:hAnsiTheme="majorBidi" w:cstheme="majorBidi"/>
          <w:i/>
        </w:rPr>
        <w:t>4</w:t>
      </w:r>
      <w:r w:rsidRPr="006D5116">
        <w:rPr>
          <w:rFonts w:asciiTheme="majorBidi" w:hAnsiTheme="majorBidi" w:cstheme="majorBidi"/>
          <w:i/>
        </w:rPr>
        <w:t xml:space="preserve"> of Care+Community+Equity</w:t>
      </w:r>
    </w:p>
    <w:p w14:paraId="7B232BEE" w14:textId="77777777" w:rsidR="00E71E7E" w:rsidRDefault="00E71E7E" w:rsidP="00E71E7E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04E98778" w14:textId="77777777" w:rsidR="001A0D32" w:rsidRPr="006D5116" w:rsidRDefault="001A0D32" w:rsidP="001A0D32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Incentive payments will be distributed annually if </w:t>
      </w:r>
      <w:r w:rsidRPr="006D5116">
        <w:rPr>
          <w:rFonts w:asciiTheme="majorBidi" w:hAnsiTheme="majorBidi" w:cstheme="majorBidi"/>
          <w:i/>
          <w:color w:val="000000" w:themeColor="text1"/>
        </w:rPr>
        <w:t xml:space="preserve">three </w:t>
      </w:r>
      <w:r w:rsidRPr="006D5116">
        <w:rPr>
          <w:rFonts w:asciiTheme="majorBidi" w:hAnsiTheme="majorBidi" w:cstheme="majorBidi"/>
          <w:color w:val="000000" w:themeColor="text1"/>
        </w:rPr>
        <w:t>of the following deliverables are met (up to 20% of funds allocated within each CCE Implementation Phase). Incentive payments will be prorated for 1</w:t>
      </w:r>
      <w:r w:rsidRPr="006D5116">
        <w:rPr>
          <w:rFonts w:asciiTheme="majorBidi" w:hAnsiTheme="majorBidi" w:cstheme="majorBidi"/>
          <w:color w:val="000000" w:themeColor="text1"/>
        </w:rPr>
        <w:softHyphen/>
        <w:t xml:space="preserve">–3 deliverables achieved and will be dispersed as a lump sum at the end of the contract year. </w:t>
      </w:r>
    </w:p>
    <w:p w14:paraId="14A2125E" w14:textId="77777777" w:rsidR="001A0D32" w:rsidRPr="006D5116" w:rsidRDefault="001A0D32" w:rsidP="00E71E7E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bookmarkEnd w:id="8"/>
    <w:p w14:paraId="6237676C" w14:textId="77777777" w:rsidR="00E97134" w:rsidRPr="006D5116" w:rsidRDefault="00E71E7E" w:rsidP="38BB6BFB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By end of the Year </w:t>
      </w:r>
      <w:r w:rsidR="004C588E" w:rsidRPr="006D5116">
        <w:rPr>
          <w:rFonts w:asciiTheme="majorBidi" w:hAnsiTheme="majorBidi" w:cstheme="majorBidi"/>
          <w:color w:val="000000" w:themeColor="text1"/>
        </w:rPr>
        <w:t>4</w:t>
      </w:r>
      <w:r w:rsidRPr="006D5116">
        <w:rPr>
          <w:rFonts w:asciiTheme="majorBidi" w:hAnsiTheme="majorBidi" w:cstheme="majorBidi"/>
          <w:color w:val="000000" w:themeColor="text1"/>
        </w:rPr>
        <w:t xml:space="preserve"> contract</w:t>
      </w:r>
      <w:r w:rsidR="00DB7976" w:rsidRPr="006D5116">
        <w:rPr>
          <w:rFonts w:asciiTheme="majorBidi" w:hAnsiTheme="majorBidi" w:cstheme="majorBidi"/>
          <w:color w:val="000000" w:themeColor="text1"/>
        </w:rPr>
        <w:t xml:space="preserve">: </w:t>
      </w:r>
      <w:r w:rsidRPr="006D5116">
        <w:rPr>
          <w:rFonts w:asciiTheme="majorBidi" w:hAnsiTheme="majorBidi" w:cstheme="majorBidi"/>
          <w:color w:val="000000" w:themeColor="text1"/>
        </w:rPr>
        <w:t xml:space="preserve">                 </w:t>
      </w:r>
    </w:p>
    <w:p w14:paraId="6AD75353" w14:textId="73496869" w:rsidR="003A3C0A" w:rsidRPr="006D5116" w:rsidRDefault="00E71E7E" w:rsidP="38BB6BFB">
      <w:pPr>
        <w:spacing w:after="0" w:line="240" w:lineRule="auto"/>
        <w:rPr>
          <w:rFonts w:asciiTheme="majorBidi" w:eastAsia="Times New Roman" w:hAnsiTheme="majorBidi" w:cstheme="majorBidi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                       </w:t>
      </w:r>
    </w:p>
    <w:p w14:paraId="78F71BA9" w14:textId="753903A6" w:rsidR="00E71E7E" w:rsidRPr="006D5116" w:rsidRDefault="00E71E7E" w:rsidP="00E71E7E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>Complete a practice-designed incentive</w:t>
      </w:r>
      <w:r w:rsidR="006C56C7" w:rsidRPr="006D5116">
        <w:rPr>
          <w:rFonts w:asciiTheme="majorBidi" w:hAnsiTheme="majorBidi" w:cstheme="majorBidi"/>
          <w:color w:val="000000" w:themeColor="text1"/>
        </w:rPr>
        <w:t>:</w:t>
      </w:r>
      <w:r w:rsidRPr="006D5116">
        <w:rPr>
          <w:rFonts w:asciiTheme="majorBidi" w:hAnsiTheme="majorBidi" w:cstheme="majorBidi"/>
          <w:color w:val="000000" w:themeColor="text1"/>
        </w:rPr>
        <w:t xml:space="preserve"> </w:t>
      </w:r>
    </w:p>
    <w:p w14:paraId="3AED1410" w14:textId="77777777" w:rsidR="00E71E7E" w:rsidRPr="006D5116" w:rsidRDefault="00E71E7E" w:rsidP="00E71E7E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3FC3F274" w14:textId="77777777" w:rsidR="00EA00BA" w:rsidRPr="006D5116" w:rsidRDefault="00EA00BA" w:rsidP="00EA00BA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>With members of your care team, craft a project with target(s) consistent with the goals of this scope of work. Establish benchmarks to demonstrate achievement of the target by June 29</w:t>
      </w:r>
      <w:r w:rsidRPr="006D5116">
        <w:rPr>
          <w:rFonts w:asciiTheme="majorBidi" w:hAnsiTheme="majorBidi" w:cstheme="majorBidi"/>
          <w:color w:val="000000" w:themeColor="text1"/>
          <w:vertAlign w:val="superscript"/>
        </w:rPr>
        <w:t>th</w:t>
      </w:r>
      <w:r w:rsidRPr="006D5116">
        <w:rPr>
          <w:rFonts w:asciiTheme="majorBidi" w:hAnsiTheme="majorBidi" w:cstheme="majorBidi"/>
          <w:color w:val="000000" w:themeColor="text1"/>
        </w:rPr>
        <w:t>, 2023. Review and discuss with your practice facilitator and RIDOH for approval by September 15</w:t>
      </w:r>
      <w:r w:rsidRPr="006D5116">
        <w:rPr>
          <w:rFonts w:asciiTheme="majorBidi" w:hAnsiTheme="majorBidi" w:cstheme="majorBidi"/>
          <w:color w:val="000000" w:themeColor="text1"/>
          <w:vertAlign w:val="superscript"/>
        </w:rPr>
        <w:t>th</w:t>
      </w:r>
      <w:r w:rsidRPr="006D5116">
        <w:rPr>
          <w:rFonts w:asciiTheme="majorBidi" w:hAnsiTheme="majorBidi" w:cstheme="majorBidi"/>
          <w:color w:val="000000" w:themeColor="text1"/>
        </w:rPr>
        <w:t xml:space="preserve">, 2022. </w:t>
      </w:r>
    </w:p>
    <w:p w14:paraId="4797F960" w14:textId="77777777" w:rsidR="002B4D73" w:rsidRPr="006D5116" w:rsidRDefault="002B4D73" w:rsidP="00B97DF5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000000" w:themeColor="text1"/>
          <w:u w:val="single"/>
        </w:rPr>
      </w:pPr>
    </w:p>
    <w:p w14:paraId="00496D74" w14:textId="79C33FCF" w:rsidR="00B97DF5" w:rsidRPr="006D5116" w:rsidRDefault="006C56C7" w:rsidP="00B97DF5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  <w:u w:val="single"/>
        </w:rPr>
        <w:t>Options</w:t>
      </w:r>
      <w:r w:rsidR="00B97DF5" w:rsidRPr="006D5116">
        <w:rPr>
          <w:rFonts w:asciiTheme="majorBidi" w:hAnsiTheme="majorBidi" w:cstheme="majorBidi"/>
          <w:color w:val="000000" w:themeColor="text1"/>
          <w:u w:val="single"/>
        </w:rPr>
        <w:t>:</w:t>
      </w:r>
      <w:r w:rsidR="00B97DF5" w:rsidRPr="006D5116">
        <w:rPr>
          <w:rFonts w:asciiTheme="majorBidi" w:hAnsiTheme="majorBidi" w:cstheme="majorBidi"/>
          <w:color w:val="000000" w:themeColor="text1"/>
        </w:rPr>
        <w:t xml:space="preserve"> </w:t>
      </w:r>
    </w:p>
    <w:p w14:paraId="1BF8A793" w14:textId="5273DEBC" w:rsidR="00B97DF5" w:rsidRPr="006D5116" w:rsidRDefault="00B97DF5" w:rsidP="00B97DF5">
      <w:pPr>
        <w:pStyle w:val="ListParagraph"/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Craft a target that aligns with your PDSA; </w:t>
      </w:r>
      <w:r w:rsidR="006C56C7" w:rsidRPr="006D5116">
        <w:rPr>
          <w:rFonts w:asciiTheme="majorBidi" w:hAnsiTheme="majorBidi" w:cstheme="majorBidi"/>
          <w:color w:val="000000" w:themeColor="text1"/>
        </w:rPr>
        <w:t>e</w:t>
      </w:r>
      <w:r w:rsidRPr="006D5116">
        <w:rPr>
          <w:rFonts w:asciiTheme="majorBidi" w:hAnsiTheme="majorBidi" w:cstheme="majorBidi"/>
          <w:color w:val="000000" w:themeColor="text1"/>
        </w:rPr>
        <w:t xml:space="preserve">stablish and monitor progress so that achievement of the agreed upon target could be demonstrated by June 2023. </w:t>
      </w:r>
    </w:p>
    <w:p w14:paraId="2D41813B" w14:textId="05C8A479" w:rsidR="00B97DF5" w:rsidRPr="006D5116" w:rsidRDefault="00B97DF5" w:rsidP="00B97DF5">
      <w:pPr>
        <w:pStyle w:val="ListParagraph"/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Participate in the Rhode to Equity (July 1,2022 to June 30, 2023) for hypertension </w:t>
      </w:r>
    </w:p>
    <w:p w14:paraId="45077998" w14:textId="7FDF6E9E" w:rsidR="00B97DF5" w:rsidRPr="006D5116" w:rsidRDefault="00B97DF5" w:rsidP="00B97DF5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Participate in CTC’s Pharmacy Quality Improvement Initiative for </w:t>
      </w:r>
      <w:r w:rsidR="00E81C8C">
        <w:rPr>
          <w:rFonts w:asciiTheme="majorBidi" w:hAnsiTheme="majorBidi" w:cstheme="majorBidi"/>
          <w:color w:val="000000" w:themeColor="text1"/>
        </w:rPr>
        <w:t xml:space="preserve">ambulatory </w:t>
      </w:r>
      <w:r w:rsidRPr="006D5116">
        <w:rPr>
          <w:rFonts w:asciiTheme="majorBidi" w:hAnsiTheme="majorBidi" w:cstheme="majorBidi"/>
          <w:color w:val="000000" w:themeColor="text1"/>
        </w:rPr>
        <w:t>measurement of blood pressure, which is scheduled to begin in June 2022 or September 2022.</w:t>
      </w:r>
    </w:p>
    <w:p w14:paraId="685D4D15" w14:textId="77777777" w:rsidR="00E71E7E" w:rsidRPr="006D5116" w:rsidRDefault="00E71E7E" w:rsidP="00E71E7E">
      <w:pPr>
        <w:spacing w:after="0" w:line="240" w:lineRule="auto"/>
        <w:rPr>
          <w:rFonts w:asciiTheme="majorBidi" w:hAnsiTheme="majorBidi" w:cstheme="majorBidi"/>
        </w:rPr>
      </w:pPr>
    </w:p>
    <w:p w14:paraId="7BF64190" w14:textId="7336F55A" w:rsidR="00D162C7" w:rsidRPr="006D5116" w:rsidRDefault="00E71E7E" w:rsidP="00601B0E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lastRenderedPageBreak/>
        <w:t xml:space="preserve">Demonstrate that the percentage of patients with HTN in Control is at or above the goal of 65%. Target must be met and sustained each quarter.  </w:t>
      </w:r>
      <w:bookmarkStart w:id="9" w:name="_Hlk535584353"/>
    </w:p>
    <w:p w14:paraId="36B0AD21" w14:textId="77777777" w:rsidR="00601B0E" w:rsidRPr="006D5116" w:rsidRDefault="00601B0E" w:rsidP="00601B0E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14:paraId="678EA1BD" w14:textId="47B3FD8F" w:rsidR="00453DAF" w:rsidRPr="006D5116" w:rsidRDefault="00453DAF" w:rsidP="00453DAF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Participate in the American Heart Association’s Quality Improvement Initiatives </w:t>
      </w:r>
    </w:p>
    <w:p w14:paraId="65DFB9E8" w14:textId="77777777" w:rsidR="00453DAF" w:rsidRPr="006D5116" w:rsidRDefault="00453DAF" w:rsidP="00453DAF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52EBE8D9" w14:textId="5594B2EA" w:rsidR="00453DAF" w:rsidRPr="006D5116" w:rsidRDefault="00453DAF" w:rsidP="00453DAF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Apply and earn </w:t>
      </w:r>
      <w:r w:rsidR="00067255" w:rsidRPr="006D5116">
        <w:rPr>
          <w:rFonts w:asciiTheme="majorBidi" w:hAnsiTheme="majorBidi" w:cstheme="majorBidi"/>
          <w:color w:val="000000" w:themeColor="text1"/>
        </w:rPr>
        <w:t>Participant, Silver or Gold</w:t>
      </w:r>
      <w:r w:rsidRPr="006D5116">
        <w:rPr>
          <w:rFonts w:asciiTheme="majorBidi" w:hAnsiTheme="majorBidi" w:cstheme="majorBidi"/>
          <w:color w:val="000000" w:themeColor="text1"/>
        </w:rPr>
        <w:t xml:space="preserve"> Status recognition for AHA’s Target:BP® initiative</w:t>
      </w:r>
    </w:p>
    <w:p w14:paraId="3F50B86E" w14:textId="77777777" w:rsidR="00453DAF" w:rsidRPr="006D5116" w:rsidRDefault="00453DAF" w:rsidP="00453DAF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16C02782" w14:textId="77777777" w:rsidR="00453DAF" w:rsidRPr="006D5116" w:rsidRDefault="00453DAF" w:rsidP="00453DAF">
      <w:pPr>
        <w:pStyle w:val="ListParagraph"/>
        <w:spacing w:after="0" w:line="240" w:lineRule="auto"/>
        <w:rPr>
          <w:rFonts w:asciiTheme="majorBidi" w:hAnsiTheme="majorBidi" w:cstheme="majorBidi"/>
          <w:i/>
          <w:iCs/>
          <w:color w:val="000000" w:themeColor="text1"/>
        </w:rPr>
      </w:pPr>
      <w:r w:rsidRPr="006D5116">
        <w:rPr>
          <w:rFonts w:asciiTheme="majorBidi" w:hAnsiTheme="majorBidi" w:cstheme="majorBidi"/>
          <w:i/>
          <w:iCs/>
          <w:color w:val="000000" w:themeColor="text1"/>
        </w:rPr>
        <w:t>and/or</w:t>
      </w:r>
    </w:p>
    <w:bookmarkEnd w:id="9"/>
    <w:p w14:paraId="64B86E02" w14:textId="77777777" w:rsidR="00453DAF" w:rsidRPr="006D5116" w:rsidRDefault="00453DAF" w:rsidP="00453DAF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12611D05" w14:textId="44A0AC60" w:rsidR="00453DAF" w:rsidRPr="006D5116" w:rsidRDefault="00453DAF" w:rsidP="00453DAF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Apply and earn </w:t>
      </w:r>
      <w:r w:rsidR="00067255" w:rsidRPr="006D5116">
        <w:rPr>
          <w:rFonts w:asciiTheme="majorBidi" w:hAnsiTheme="majorBidi" w:cstheme="majorBidi"/>
          <w:color w:val="000000" w:themeColor="text1"/>
        </w:rPr>
        <w:t xml:space="preserve">Participant, Silver or </w:t>
      </w:r>
      <w:r w:rsidRPr="006D5116">
        <w:rPr>
          <w:rFonts w:asciiTheme="majorBidi" w:hAnsiTheme="majorBidi" w:cstheme="majorBidi"/>
          <w:color w:val="000000" w:themeColor="text1"/>
        </w:rPr>
        <w:t xml:space="preserve">Gold Achievement recognition for AHA’s Check. Change. Control. </w:t>
      </w:r>
      <w:r w:rsidRPr="006D5116">
        <w:rPr>
          <w:rFonts w:asciiTheme="majorBidi" w:hAnsiTheme="majorBidi" w:cstheme="majorBidi"/>
          <w:i/>
          <w:color w:val="000000" w:themeColor="text1"/>
        </w:rPr>
        <w:t>Cholesterol™</w:t>
      </w:r>
      <w:r w:rsidRPr="006D5116">
        <w:rPr>
          <w:rFonts w:asciiTheme="majorBidi" w:hAnsiTheme="majorBidi" w:cstheme="majorBidi"/>
          <w:color w:val="000000" w:themeColor="text1"/>
        </w:rPr>
        <w:t xml:space="preserve"> initiative  </w:t>
      </w:r>
    </w:p>
    <w:p w14:paraId="7391233A" w14:textId="77777777" w:rsidR="00E71E7E" w:rsidRPr="006D5116" w:rsidRDefault="00E71E7E" w:rsidP="00E71E7E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0BFD7989" w14:textId="04317C26" w:rsidR="00783559" w:rsidRPr="006D5116" w:rsidRDefault="00E26C35" w:rsidP="00783559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During quarterly site visits, </w:t>
      </w:r>
      <w:r w:rsidR="00D261AE" w:rsidRPr="006D5116">
        <w:rPr>
          <w:rFonts w:asciiTheme="majorBidi" w:hAnsiTheme="majorBidi" w:cstheme="majorBidi"/>
          <w:color w:val="000000" w:themeColor="text1"/>
        </w:rPr>
        <w:t>demonstrate how SMBP patients are managed and at-home blood pressure reading results are interpreted. D</w:t>
      </w:r>
      <w:r w:rsidRPr="006D5116">
        <w:rPr>
          <w:rFonts w:asciiTheme="majorBidi" w:hAnsiTheme="majorBidi" w:cstheme="majorBidi"/>
          <w:color w:val="000000" w:themeColor="text1"/>
        </w:rPr>
        <w:t xml:space="preserve">emonstrate that at least 10% of patients enrolled in </w:t>
      </w:r>
      <w:r w:rsidR="006C56C7" w:rsidRPr="006D5116">
        <w:rPr>
          <w:rFonts w:asciiTheme="majorBidi" w:hAnsiTheme="majorBidi" w:cstheme="majorBidi"/>
          <w:color w:val="000000" w:themeColor="text1"/>
        </w:rPr>
        <w:t xml:space="preserve">the </w:t>
      </w:r>
      <w:r w:rsidRPr="006D5116">
        <w:rPr>
          <w:rFonts w:asciiTheme="majorBidi" w:hAnsiTheme="majorBidi" w:cstheme="majorBidi"/>
          <w:color w:val="000000" w:themeColor="text1"/>
        </w:rPr>
        <w:t xml:space="preserve">SMBP </w:t>
      </w:r>
      <w:r w:rsidR="006C56C7" w:rsidRPr="006D5116">
        <w:rPr>
          <w:rFonts w:asciiTheme="majorBidi" w:hAnsiTheme="majorBidi" w:cstheme="majorBidi"/>
          <w:color w:val="000000" w:themeColor="text1"/>
        </w:rPr>
        <w:t xml:space="preserve">program </w:t>
      </w:r>
      <w:r w:rsidRPr="006D5116">
        <w:rPr>
          <w:rFonts w:asciiTheme="majorBidi" w:hAnsiTheme="majorBidi" w:cstheme="majorBidi"/>
          <w:color w:val="000000" w:themeColor="text1"/>
        </w:rPr>
        <w:t xml:space="preserve">achieved HTN Control. </w:t>
      </w:r>
    </w:p>
    <w:p w14:paraId="37919192" w14:textId="77777777" w:rsidR="00783559" w:rsidRPr="006D5116" w:rsidRDefault="00783559" w:rsidP="00783559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14:paraId="31CD8B2E" w14:textId="2B6295AB" w:rsidR="00783559" w:rsidRPr="006D5116" w:rsidRDefault="00783559" w:rsidP="00783559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</w:rPr>
        <w:t xml:space="preserve">Invite members of the clinical care team to a CCE Best Practice Sharing meeting scheduled for September, December, or March and present a practice or patient story that demonstrates successes and/or challenges in implementing a self-measurement of blood pressure program. </w:t>
      </w:r>
    </w:p>
    <w:p w14:paraId="03AB53B4" w14:textId="77777777" w:rsidR="007A0461" w:rsidRPr="006D5116" w:rsidRDefault="007A0461" w:rsidP="007A0461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70744533" w14:textId="3D540165" w:rsidR="007552BF" w:rsidRPr="006D5116" w:rsidRDefault="58169571" w:rsidP="57788489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</w:rPr>
      </w:pPr>
      <w:r w:rsidRPr="006D5116">
        <w:rPr>
          <w:rFonts w:asciiTheme="majorBidi" w:hAnsiTheme="majorBidi" w:cstheme="majorBidi"/>
          <w:color w:val="000000" w:themeColor="text1"/>
        </w:rPr>
        <w:t xml:space="preserve">Utilize the road map tool from the Center for Disease Control </w:t>
      </w:r>
      <w:r w:rsidR="00D52636" w:rsidRPr="006D5116">
        <w:rPr>
          <w:rFonts w:asciiTheme="majorBidi" w:hAnsiTheme="majorBidi" w:cstheme="majorBidi"/>
          <w:color w:val="000000" w:themeColor="text1"/>
        </w:rPr>
        <w:t>- I</w:t>
      </w:r>
      <w:r w:rsidRPr="006D5116">
        <w:rPr>
          <w:rFonts w:asciiTheme="majorBidi" w:hAnsiTheme="majorBidi" w:cstheme="majorBidi"/>
          <w:color w:val="000000" w:themeColor="text1"/>
        </w:rPr>
        <w:t xml:space="preserve">mprove </w:t>
      </w:r>
      <w:r w:rsidR="00D52636" w:rsidRPr="006D5116">
        <w:rPr>
          <w:rFonts w:asciiTheme="majorBidi" w:hAnsiTheme="majorBidi" w:cstheme="majorBidi"/>
          <w:color w:val="000000" w:themeColor="text1"/>
        </w:rPr>
        <w:t>B</w:t>
      </w:r>
      <w:r w:rsidRPr="006D5116">
        <w:rPr>
          <w:rFonts w:asciiTheme="majorBidi" w:hAnsiTheme="majorBidi" w:cstheme="majorBidi"/>
          <w:color w:val="000000" w:themeColor="text1"/>
        </w:rPr>
        <w:t xml:space="preserve">lood </w:t>
      </w:r>
      <w:r w:rsidR="00D52636" w:rsidRPr="006D5116">
        <w:rPr>
          <w:rFonts w:asciiTheme="majorBidi" w:hAnsiTheme="majorBidi" w:cstheme="majorBidi"/>
          <w:color w:val="000000" w:themeColor="text1"/>
        </w:rPr>
        <w:t>P</w:t>
      </w:r>
      <w:r w:rsidRPr="006D5116">
        <w:rPr>
          <w:rFonts w:asciiTheme="majorBidi" w:hAnsiTheme="majorBidi" w:cstheme="majorBidi"/>
          <w:color w:val="000000" w:themeColor="text1"/>
        </w:rPr>
        <w:t xml:space="preserve">ressure </w:t>
      </w:r>
      <w:r w:rsidR="00D52636" w:rsidRPr="006D5116">
        <w:rPr>
          <w:rFonts w:asciiTheme="majorBidi" w:hAnsiTheme="majorBidi" w:cstheme="majorBidi"/>
          <w:color w:val="000000" w:themeColor="text1"/>
        </w:rPr>
        <w:t>C</w:t>
      </w:r>
      <w:r w:rsidRPr="006D5116">
        <w:rPr>
          <w:rFonts w:asciiTheme="majorBidi" w:hAnsiTheme="majorBidi" w:cstheme="majorBidi"/>
          <w:color w:val="000000" w:themeColor="text1"/>
        </w:rPr>
        <w:t>ontrol in African Americans. The tool organizes groups of intervention and activities to help practices develop a deliberate strategy or approach to your practice’s hypertension management efforts.</w:t>
      </w:r>
    </w:p>
    <w:p w14:paraId="0087AFEA" w14:textId="77777777" w:rsidR="007552BF" w:rsidRPr="006D5116" w:rsidRDefault="007552BF" w:rsidP="007552BF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14:paraId="49F267B1" w14:textId="77777777" w:rsidR="00E71E7E" w:rsidRPr="006D5116" w:rsidRDefault="00E71E7E" w:rsidP="00E71E7E">
      <w:pPr>
        <w:spacing w:after="0" w:line="240" w:lineRule="auto"/>
        <w:rPr>
          <w:rFonts w:asciiTheme="majorBidi" w:hAnsiTheme="majorBidi" w:cstheme="majorBidi"/>
        </w:rPr>
      </w:pPr>
    </w:p>
    <w:p w14:paraId="7ED668C6" w14:textId="77777777" w:rsidR="004A3B99" w:rsidRPr="006D5116" w:rsidRDefault="004A3B99" w:rsidP="004A3B99">
      <w:p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>The following deliverables outline in greater detail the responsibility of RIDHDS.</w:t>
      </w:r>
    </w:p>
    <w:p w14:paraId="027E672C" w14:textId="77777777" w:rsidR="004A3B99" w:rsidRPr="006D5116" w:rsidRDefault="004A3B99" w:rsidP="004A3B99">
      <w:pPr>
        <w:spacing w:after="0" w:line="240" w:lineRule="auto"/>
        <w:rPr>
          <w:rFonts w:asciiTheme="majorBidi" w:hAnsiTheme="majorBidi" w:cstheme="majorBidi"/>
          <w:u w:val="single"/>
        </w:rPr>
      </w:pPr>
    </w:p>
    <w:p w14:paraId="4648C48C" w14:textId="77777777" w:rsidR="004A3B99" w:rsidRPr="006D5116" w:rsidRDefault="004A3B99" w:rsidP="004A3B99">
      <w:pPr>
        <w:spacing w:after="0" w:line="240" w:lineRule="auto"/>
        <w:rPr>
          <w:rFonts w:asciiTheme="majorBidi" w:hAnsiTheme="majorBidi" w:cstheme="majorBidi"/>
          <w:u w:val="single"/>
        </w:rPr>
      </w:pPr>
      <w:r w:rsidRPr="006D5116">
        <w:rPr>
          <w:rFonts w:asciiTheme="majorBidi" w:hAnsiTheme="majorBidi" w:cstheme="majorBidi"/>
          <w:u w:val="single"/>
        </w:rPr>
        <w:t xml:space="preserve">RIDHDS will: </w:t>
      </w:r>
    </w:p>
    <w:p w14:paraId="70A9063A" w14:textId="77777777" w:rsidR="004A3B99" w:rsidRPr="006D5116" w:rsidRDefault="004A3B99" w:rsidP="004A3B9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Provide practice facilitation and </w:t>
      </w:r>
      <w:bookmarkStart w:id="10" w:name="_Hlk535488998"/>
      <w:r w:rsidRPr="006D5116">
        <w:rPr>
          <w:rFonts w:asciiTheme="majorBidi" w:hAnsiTheme="majorBidi" w:cstheme="majorBidi"/>
        </w:rPr>
        <w:t xml:space="preserve">EHR </w:t>
      </w:r>
      <w:bookmarkStart w:id="11" w:name="_Hlk34632931"/>
      <w:r w:rsidRPr="006D5116">
        <w:rPr>
          <w:rFonts w:asciiTheme="majorBidi" w:hAnsiTheme="majorBidi" w:cstheme="majorBidi"/>
        </w:rPr>
        <w:t xml:space="preserve">technical </w:t>
      </w:r>
      <w:bookmarkEnd w:id="10"/>
      <w:bookmarkEnd w:id="11"/>
      <w:r w:rsidRPr="006D5116">
        <w:rPr>
          <w:rFonts w:asciiTheme="majorBidi" w:hAnsiTheme="majorBidi" w:cstheme="majorBidi"/>
        </w:rPr>
        <w:t>assistance through existing contracts with CTC-RI and AHP</w:t>
      </w:r>
    </w:p>
    <w:p w14:paraId="1F60C7F9" w14:textId="6C9A0C60" w:rsidR="004A3B99" w:rsidRPr="006D5116" w:rsidRDefault="004A3B99" w:rsidP="004A3B99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bookmarkStart w:id="12" w:name="_Hlk533695875"/>
      <w:r w:rsidRPr="006D5116">
        <w:rPr>
          <w:rFonts w:asciiTheme="majorBidi" w:hAnsiTheme="majorBidi" w:cstheme="majorBidi"/>
        </w:rPr>
        <w:t xml:space="preserve">In collaboration with the Rhode Island Health Center Association, provide training and technical assistance opportunities to FQHCs and free clinics serving vulnerable populations </w:t>
      </w:r>
    </w:p>
    <w:p w14:paraId="1FBA2939" w14:textId="77777777" w:rsidR="009144CB" w:rsidRPr="006D5116" w:rsidRDefault="009144CB" w:rsidP="009144CB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Provide technical assistance on RIDOH’s Community Health Network (CHN) </w:t>
      </w:r>
    </w:p>
    <w:p w14:paraId="7969E4D6" w14:textId="77777777" w:rsidR="004A3B99" w:rsidRPr="006D5116" w:rsidRDefault="004A3B99" w:rsidP="004A3B99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6D5116">
        <w:rPr>
          <w:rFonts w:asciiTheme="majorBidi" w:hAnsiTheme="majorBidi" w:cstheme="majorBidi"/>
        </w:rPr>
        <w:t xml:space="preserve">Assist with evaluation of process measures and other analytical/data support (i.e., analyzing de-identified data, pre-post evaluations, etc.) </w:t>
      </w:r>
    </w:p>
    <w:bookmarkEnd w:id="12"/>
    <w:p w14:paraId="6E7CD8E8" w14:textId="77777777" w:rsidR="004A3B99" w:rsidRPr="006D5116" w:rsidRDefault="004A3B99" w:rsidP="004A3B99">
      <w:pPr>
        <w:pStyle w:val="ListParagraph"/>
        <w:numPr>
          <w:ilvl w:val="0"/>
          <w:numId w:val="14"/>
        </w:numPr>
        <w:spacing w:after="0" w:line="240" w:lineRule="auto"/>
        <w:rPr>
          <w:rStyle w:val="SubtleEmphasis"/>
          <w:rFonts w:asciiTheme="majorBidi" w:eastAsiaTheme="minorEastAsia" w:hAnsiTheme="majorBidi" w:cstheme="majorBidi"/>
          <w:i w:val="0"/>
          <w:iCs w:val="0"/>
          <w:color w:val="auto"/>
        </w:rPr>
      </w:pPr>
      <w:r w:rsidRPr="006D5116">
        <w:rPr>
          <w:rFonts w:asciiTheme="majorBidi" w:hAnsiTheme="majorBidi" w:cstheme="majorBidi"/>
        </w:rPr>
        <w:t>Report quarterly on the number of CHN referrals made by each site</w:t>
      </w:r>
    </w:p>
    <w:p w14:paraId="469A1D2A" w14:textId="2FC64823" w:rsidR="004A3B99" w:rsidRPr="006D5116" w:rsidRDefault="004A3B99" w:rsidP="004A3B99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Style w:val="SubtleEmphasis"/>
          <w:rFonts w:asciiTheme="majorBidi" w:hAnsiTheme="majorBidi" w:cstheme="majorBidi"/>
          <w:i w:val="0"/>
          <w:iCs w:val="0"/>
          <w:color w:val="auto"/>
        </w:rPr>
      </w:pPr>
      <w:r w:rsidRPr="006D5116">
        <w:rPr>
          <w:rStyle w:val="SubtleEmphasis"/>
          <w:rFonts w:asciiTheme="majorBidi" w:hAnsiTheme="majorBidi" w:cstheme="majorBidi"/>
          <w:i w:val="0"/>
          <w:iCs w:val="0"/>
          <w:color w:val="auto"/>
        </w:rPr>
        <w:t>Facilitate and strengthen connections between each health center and RIDOH programs (i.e., HEZ, CHN, DPP, WISEWOMAN)</w:t>
      </w:r>
    </w:p>
    <w:p w14:paraId="215DA8DB" w14:textId="77777777" w:rsidR="004A3B99" w:rsidRPr="006D5116" w:rsidRDefault="004A3B99" w:rsidP="004A3B99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Style w:val="SubtleEmphasis"/>
          <w:rFonts w:asciiTheme="majorBidi" w:hAnsiTheme="majorBidi" w:cstheme="majorBidi"/>
          <w:i w:val="0"/>
          <w:iCs w:val="0"/>
          <w:color w:val="auto"/>
        </w:rPr>
      </w:pPr>
      <w:r w:rsidRPr="006D5116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Distribute funds </w:t>
      </w:r>
    </w:p>
    <w:p w14:paraId="21238FCF" w14:textId="05E54911" w:rsidR="004A3B99" w:rsidRPr="006D5116" w:rsidRDefault="004A3B99" w:rsidP="004A3B99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</w:rPr>
      </w:pPr>
      <w:bookmarkStart w:id="13" w:name="_Hlk34115509"/>
      <w:r w:rsidRPr="006D5116">
        <w:rPr>
          <w:rStyle w:val="SubtleEmphasis"/>
          <w:rFonts w:asciiTheme="majorBidi" w:hAnsiTheme="majorBidi" w:cstheme="majorBidi"/>
          <w:i w:val="0"/>
          <w:iCs w:val="0"/>
          <w:color w:val="auto"/>
        </w:rPr>
        <w:t>Alert practice</w:t>
      </w:r>
      <w:r w:rsidR="00351000" w:rsidRPr="006D5116">
        <w:rPr>
          <w:rStyle w:val="SubtleEmphasis"/>
          <w:rFonts w:asciiTheme="majorBidi" w:hAnsiTheme="majorBidi" w:cstheme="majorBidi"/>
          <w:i w:val="0"/>
          <w:iCs w:val="0"/>
          <w:color w:val="auto"/>
        </w:rPr>
        <w:t>s</w:t>
      </w:r>
      <w:r w:rsidRPr="006D5116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to new resources and continuing education opportunities</w:t>
      </w:r>
      <w:bookmarkEnd w:id="13"/>
      <w:r w:rsidRPr="006D5116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through regular programmatic updates</w:t>
      </w:r>
    </w:p>
    <w:p w14:paraId="740A41A2" w14:textId="77777777" w:rsidR="00E40E0F" w:rsidRPr="006D5116" w:rsidRDefault="00E40E0F" w:rsidP="0094035C">
      <w:pPr>
        <w:spacing w:after="0" w:line="240" w:lineRule="auto"/>
        <w:rPr>
          <w:rFonts w:asciiTheme="majorBidi" w:hAnsiTheme="majorBidi" w:cstheme="majorBidi"/>
        </w:rPr>
      </w:pPr>
    </w:p>
    <w:sectPr w:rsidR="00E40E0F" w:rsidRPr="006D5116" w:rsidSect="00A87B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3EE9E" w16cex:dateUtc="2022-06-27T12:53:00Z"/>
  <w16cex:commentExtensible w16cex:durableId="2663EEC6" w16cex:dateUtc="2022-06-27T12:54:00Z"/>
  <w16cex:commentExtensible w16cex:durableId="2663EF33" w16cex:dateUtc="2022-06-27T12:56:00Z"/>
  <w16cex:commentExtensible w16cex:durableId="2663EF4A" w16cex:dateUtc="2022-06-27T12:56:00Z"/>
  <w16cex:commentExtensible w16cex:durableId="2663EF71" w16cex:dateUtc="2022-06-27T12:57:00Z"/>
  <w16cex:commentExtensible w16cex:durableId="2663EF95" w16cex:dateUtc="2022-06-27T12:57:00Z"/>
  <w16cex:commentExtensible w16cex:durableId="2663EFC4" w16cex:dateUtc="2022-06-27T12:58:00Z"/>
  <w16cex:commentExtensible w16cex:durableId="2663F005" w16cex:dateUtc="2022-06-27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774DB4" w16cid:durableId="2663EE9E"/>
  <w16cid:commentId w16cid:paraId="6E7C3160" w16cid:durableId="2663EEC6"/>
  <w16cid:commentId w16cid:paraId="25D0F105" w16cid:durableId="2663EF33"/>
  <w16cid:commentId w16cid:paraId="21D872B4" w16cid:durableId="2663EF4A"/>
  <w16cid:commentId w16cid:paraId="515453E1" w16cid:durableId="2663EF71"/>
  <w16cid:commentId w16cid:paraId="4FD7716E" w16cid:durableId="2663EF95"/>
  <w16cid:commentId w16cid:paraId="0C49302E" w16cid:durableId="2663EFC4"/>
  <w16cid:commentId w16cid:paraId="7A038C93" w16cid:durableId="2663F0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EFF2" w14:textId="77777777" w:rsidR="00D960EA" w:rsidRDefault="00D960EA" w:rsidP="007E5E9C">
      <w:pPr>
        <w:spacing w:after="0" w:line="240" w:lineRule="auto"/>
      </w:pPr>
      <w:r>
        <w:separator/>
      </w:r>
    </w:p>
  </w:endnote>
  <w:endnote w:type="continuationSeparator" w:id="0">
    <w:p w14:paraId="1B42B6BA" w14:textId="77777777" w:rsidR="00D960EA" w:rsidRDefault="00D960EA" w:rsidP="007E5E9C">
      <w:pPr>
        <w:spacing w:after="0" w:line="240" w:lineRule="auto"/>
      </w:pPr>
      <w:r>
        <w:continuationSeparator/>
      </w:r>
    </w:p>
  </w:endnote>
  <w:endnote w:type="continuationNotice" w:id="1">
    <w:p w14:paraId="73AFC4BF" w14:textId="77777777" w:rsidR="00D960EA" w:rsidRDefault="00D96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1C29" w14:textId="77777777" w:rsidR="00E273D7" w:rsidRDefault="00E27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261B" w14:textId="77777777" w:rsidR="00E273D7" w:rsidRDefault="00E27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DA58" w14:textId="77777777" w:rsidR="00E273D7" w:rsidRDefault="00E2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5220" w14:textId="77777777" w:rsidR="00D960EA" w:rsidRDefault="00D960EA" w:rsidP="007E5E9C">
      <w:pPr>
        <w:spacing w:after="0" w:line="240" w:lineRule="auto"/>
      </w:pPr>
      <w:r>
        <w:separator/>
      </w:r>
    </w:p>
  </w:footnote>
  <w:footnote w:type="continuationSeparator" w:id="0">
    <w:p w14:paraId="0F2464A4" w14:textId="77777777" w:rsidR="00D960EA" w:rsidRDefault="00D960EA" w:rsidP="007E5E9C">
      <w:pPr>
        <w:spacing w:after="0" w:line="240" w:lineRule="auto"/>
      </w:pPr>
      <w:r>
        <w:continuationSeparator/>
      </w:r>
    </w:p>
  </w:footnote>
  <w:footnote w:type="continuationNotice" w:id="1">
    <w:p w14:paraId="5CFD6018" w14:textId="77777777" w:rsidR="00D960EA" w:rsidRDefault="00D96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454E" w14:textId="26F97AF2" w:rsidR="00E273D7" w:rsidRDefault="00E27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37FF" w14:textId="518D1770" w:rsidR="00E273D7" w:rsidRDefault="00E27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499D3" w14:textId="5D29C864" w:rsidR="00E273D7" w:rsidRDefault="00E27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228"/>
    <w:multiLevelType w:val="hybridMultilevel"/>
    <w:tmpl w:val="8842D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33A53"/>
    <w:multiLevelType w:val="hybridMultilevel"/>
    <w:tmpl w:val="8E48CCC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5384"/>
    <w:multiLevelType w:val="hybridMultilevel"/>
    <w:tmpl w:val="501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6BEC"/>
    <w:multiLevelType w:val="hybridMultilevel"/>
    <w:tmpl w:val="9A44959C"/>
    <w:lvl w:ilvl="0" w:tplc="274CD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14"/>
    <w:multiLevelType w:val="hybridMultilevel"/>
    <w:tmpl w:val="56B60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F502B"/>
    <w:multiLevelType w:val="multilevel"/>
    <w:tmpl w:val="AC9ED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463D"/>
    <w:multiLevelType w:val="hybridMultilevel"/>
    <w:tmpl w:val="CE4CC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57C35"/>
    <w:multiLevelType w:val="hybridMultilevel"/>
    <w:tmpl w:val="8E722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103504"/>
    <w:multiLevelType w:val="hybridMultilevel"/>
    <w:tmpl w:val="5C1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E6EB2"/>
    <w:multiLevelType w:val="hybridMultilevel"/>
    <w:tmpl w:val="FB5A6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075A9"/>
    <w:multiLevelType w:val="hybridMultilevel"/>
    <w:tmpl w:val="4ABC5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0538E"/>
    <w:multiLevelType w:val="hybridMultilevel"/>
    <w:tmpl w:val="4940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86CB6"/>
    <w:multiLevelType w:val="hybridMultilevel"/>
    <w:tmpl w:val="9992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B2F"/>
    <w:multiLevelType w:val="hybridMultilevel"/>
    <w:tmpl w:val="2E002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B951C7"/>
    <w:multiLevelType w:val="hybridMultilevel"/>
    <w:tmpl w:val="E99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F36A3"/>
    <w:multiLevelType w:val="hybridMultilevel"/>
    <w:tmpl w:val="A1C6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3416"/>
    <w:multiLevelType w:val="hybridMultilevel"/>
    <w:tmpl w:val="D9BEF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FD7EB2"/>
    <w:multiLevelType w:val="hybridMultilevel"/>
    <w:tmpl w:val="98764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165C2B"/>
    <w:multiLevelType w:val="hybridMultilevel"/>
    <w:tmpl w:val="3E9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1649E"/>
    <w:multiLevelType w:val="hybridMultilevel"/>
    <w:tmpl w:val="F466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46A72"/>
    <w:multiLevelType w:val="hybridMultilevel"/>
    <w:tmpl w:val="ADF2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6F70F9"/>
    <w:multiLevelType w:val="hybridMultilevel"/>
    <w:tmpl w:val="CDD2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297C"/>
    <w:multiLevelType w:val="hybridMultilevel"/>
    <w:tmpl w:val="65AE1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E046B9"/>
    <w:multiLevelType w:val="hybridMultilevel"/>
    <w:tmpl w:val="E1B0A9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3B3474"/>
    <w:multiLevelType w:val="hybridMultilevel"/>
    <w:tmpl w:val="B2FE4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557F3"/>
    <w:multiLevelType w:val="hybridMultilevel"/>
    <w:tmpl w:val="B82A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E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26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82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A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E2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E5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87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93E9B"/>
    <w:multiLevelType w:val="hybridMultilevel"/>
    <w:tmpl w:val="8394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A186D"/>
    <w:multiLevelType w:val="hybridMultilevel"/>
    <w:tmpl w:val="679C3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B83007"/>
    <w:multiLevelType w:val="multilevel"/>
    <w:tmpl w:val="AC9ED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0EE"/>
    <w:multiLevelType w:val="hybridMultilevel"/>
    <w:tmpl w:val="69FC7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CD33F9"/>
    <w:multiLevelType w:val="hybridMultilevel"/>
    <w:tmpl w:val="1E6A205A"/>
    <w:lvl w:ilvl="0" w:tplc="8DEE8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035004"/>
    <w:multiLevelType w:val="hybridMultilevel"/>
    <w:tmpl w:val="D348F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A146E9"/>
    <w:multiLevelType w:val="hybridMultilevel"/>
    <w:tmpl w:val="666EED12"/>
    <w:lvl w:ilvl="0" w:tplc="881C0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93420"/>
    <w:multiLevelType w:val="hybridMultilevel"/>
    <w:tmpl w:val="AC9E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56297"/>
    <w:multiLevelType w:val="hybridMultilevel"/>
    <w:tmpl w:val="2E54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3671"/>
    <w:multiLevelType w:val="hybridMultilevel"/>
    <w:tmpl w:val="BC04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130BD"/>
    <w:multiLevelType w:val="hybridMultilevel"/>
    <w:tmpl w:val="EA708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B12084"/>
    <w:multiLevelType w:val="hybridMultilevel"/>
    <w:tmpl w:val="6186E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72911"/>
    <w:multiLevelType w:val="hybridMultilevel"/>
    <w:tmpl w:val="686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45EE"/>
    <w:multiLevelType w:val="hybridMultilevel"/>
    <w:tmpl w:val="7CFE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F529E"/>
    <w:multiLevelType w:val="hybridMultilevel"/>
    <w:tmpl w:val="A2341B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67A002A"/>
    <w:multiLevelType w:val="hybridMultilevel"/>
    <w:tmpl w:val="88222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446A5"/>
    <w:multiLevelType w:val="hybridMultilevel"/>
    <w:tmpl w:val="B5A8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92748F"/>
    <w:multiLevelType w:val="hybridMultilevel"/>
    <w:tmpl w:val="C968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1"/>
  </w:num>
  <w:num w:numId="4">
    <w:abstractNumId w:val="36"/>
  </w:num>
  <w:num w:numId="5">
    <w:abstractNumId w:val="22"/>
  </w:num>
  <w:num w:numId="6">
    <w:abstractNumId w:val="11"/>
  </w:num>
  <w:num w:numId="7">
    <w:abstractNumId w:val="13"/>
  </w:num>
  <w:num w:numId="8">
    <w:abstractNumId w:val="17"/>
  </w:num>
  <w:num w:numId="9">
    <w:abstractNumId w:val="42"/>
  </w:num>
  <w:num w:numId="10">
    <w:abstractNumId w:val="0"/>
  </w:num>
  <w:num w:numId="11">
    <w:abstractNumId w:val="43"/>
  </w:num>
  <w:num w:numId="12">
    <w:abstractNumId w:val="26"/>
  </w:num>
  <w:num w:numId="13">
    <w:abstractNumId w:val="18"/>
  </w:num>
  <w:num w:numId="14">
    <w:abstractNumId w:val="38"/>
  </w:num>
  <w:num w:numId="15">
    <w:abstractNumId w:val="41"/>
  </w:num>
  <w:num w:numId="16">
    <w:abstractNumId w:val="33"/>
  </w:num>
  <w:num w:numId="17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28"/>
  </w:num>
  <w:num w:numId="21">
    <w:abstractNumId w:val="20"/>
  </w:num>
  <w:num w:numId="22">
    <w:abstractNumId w:val="5"/>
  </w:num>
  <w:num w:numId="23">
    <w:abstractNumId w:val="29"/>
  </w:num>
  <w:num w:numId="24">
    <w:abstractNumId w:val="3"/>
  </w:num>
  <w:num w:numId="25">
    <w:abstractNumId w:val="32"/>
  </w:num>
  <w:num w:numId="26">
    <w:abstractNumId w:val="31"/>
  </w:num>
  <w:num w:numId="27">
    <w:abstractNumId w:val="10"/>
  </w:num>
  <w:num w:numId="28">
    <w:abstractNumId w:val="7"/>
  </w:num>
  <w:num w:numId="29">
    <w:abstractNumId w:val="30"/>
  </w:num>
  <w:num w:numId="30">
    <w:abstractNumId w:val="15"/>
  </w:num>
  <w:num w:numId="31">
    <w:abstractNumId w:val="19"/>
  </w:num>
  <w:num w:numId="32">
    <w:abstractNumId w:val="39"/>
  </w:num>
  <w:num w:numId="33">
    <w:abstractNumId w:val="25"/>
  </w:num>
  <w:num w:numId="34">
    <w:abstractNumId w:val="1"/>
  </w:num>
  <w:num w:numId="35">
    <w:abstractNumId w:val="23"/>
  </w:num>
  <w:num w:numId="36">
    <w:abstractNumId w:val="24"/>
  </w:num>
  <w:num w:numId="37">
    <w:abstractNumId w:val="6"/>
  </w:num>
  <w:num w:numId="38">
    <w:abstractNumId w:val="34"/>
  </w:num>
  <w:num w:numId="39">
    <w:abstractNumId w:val="14"/>
  </w:num>
  <w:num w:numId="40">
    <w:abstractNumId w:val="2"/>
  </w:num>
  <w:num w:numId="41">
    <w:abstractNumId w:val="4"/>
  </w:num>
  <w:num w:numId="42">
    <w:abstractNumId w:val="37"/>
  </w:num>
  <w:num w:numId="43">
    <w:abstractNumId w:val="40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B"/>
    <w:rsid w:val="000461B8"/>
    <w:rsid w:val="0006464F"/>
    <w:rsid w:val="00067255"/>
    <w:rsid w:val="000857AA"/>
    <w:rsid w:val="000F717E"/>
    <w:rsid w:val="000F7D98"/>
    <w:rsid w:val="00103539"/>
    <w:rsid w:val="00122B15"/>
    <w:rsid w:val="001515BD"/>
    <w:rsid w:val="00153B4F"/>
    <w:rsid w:val="00164B8F"/>
    <w:rsid w:val="001929C7"/>
    <w:rsid w:val="001939CB"/>
    <w:rsid w:val="00197A79"/>
    <w:rsid w:val="001A0D32"/>
    <w:rsid w:val="001B1CA4"/>
    <w:rsid w:val="001B7053"/>
    <w:rsid w:val="001C75DB"/>
    <w:rsid w:val="001F4D13"/>
    <w:rsid w:val="001F5FD4"/>
    <w:rsid w:val="002278EE"/>
    <w:rsid w:val="0023025D"/>
    <w:rsid w:val="0024261D"/>
    <w:rsid w:val="00254B81"/>
    <w:rsid w:val="00261A55"/>
    <w:rsid w:val="002627D2"/>
    <w:rsid w:val="002713A6"/>
    <w:rsid w:val="00282029"/>
    <w:rsid w:val="002B03ED"/>
    <w:rsid w:val="002B4D73"/>
    <w:rsid w:val="002C46FE"/>
    <w:rsid w:val="002F0A3E"/>
    <w:rsid w:val="0030271B"/>
    <w:rsid w:val="0030388B"/>
    <w:rsid w:val="00313836"/>
    <w:rsid w:val="003239A0"/>
    <w:rsid w:val="00323DE6"/>
    <w:rsid w:val="0032560B"/>
    <w:rsid w:val="00351000"/>
    <w:rsid w:val="00353018"/>
    <w:rsid w:val="00353A40"/>
    <w:rsid w:val="00363974"/>
    <w:rsid w:val="00366450"/>
    <w:rsid w:val="00397A6D"/>
    <w:rsid w:val="003A3C0A"/>
    <w:rsid w:val="003B244C"/>
    <w:rsid w:val="003C1961"/>
    <w:rsid w:val="003C3221"/>
    <w:rsid w:val="003D018B"/>
    <w:rsid w:val="003E5D7F"/>
    <w:rsid w:val="0040599E"/>
    <w:rsid w:val="00411B60"/>
    <w:rsid w:val="00420EEA"/>
    <w:rsid w:val="0043580D"/>
    <w:rsid w:val="00453DAF"/>
    <w:rsid w:val="004A3B99"/>
    <w:rsid w:val="004A626C"/>
    <w:rsid w:val="004B6F36"/>
    <w:rsid w:val="004C045E"/>
    <w:rsid w:val="004C588E"/>
    <w:rsid w:val="004D1BA3"/>
    <w:rsid w:val="004E242A"/>
    <w:rsid w:val="004F4017"/>
    <w:rsid w:val="005210A4"/>
    <w:rsid w:val="005226FA"/>
    <w:rsid w:val="0053198A"/>
    <w:rsid w:val="00537D76"/>
    <w:rsid w:val="005505BF"/>
    <w:rsid w:val="00556E2B"/>
    <w:rsid w:val="00580D7F"/>
    <w:rsid w:val="00592B91"/>
    <w:rsid w:val="005B0652"/>
    <w:rsid w:val="005B22CD"/>
    <w:rsid w:val="005C0881"/>
    <w:rsid w:val="005D0E27"/>
    <w:rsid w:val="005E13AB"/>
    <w:rsid w:val="005F0BAA"/>
    <w:rsid w:val="00601B0E"/>
    <w:rsid w:val="0062091E"/>
    <w:rsid w:val="00624FF7"/>
    <w:rsid w:val="00625DB4"/>
    <w:rsid w:val="006401A1"/>
    <w:rsid w:val="00654455"/>
    <w:rsid w:val="00662418"/>
    <w:rsid w:val="00672898"/>
    <w:rsid w:val="00674198"/>
    <w:rsid w:val="00676206"/>
    <w:rsid w:val="00684317"/>
    <w:rsid w:val="006936AE"/>
    <w:rsid w:val="006A20CD"/>
    <w:rsid w:val="006A2D34"/>
    <w:rsid w:val="006C195B"/>
    <w:rsid w:val="006C2F2F"/>
    <w:rsid w:val="006C56C7"/>
    <w:rsid w:val="006D5116"/>
    <w:rsid w:val="006E082B"/>
    <w:rsid w:val="00717A3F"/>
    <w:rsid w:val="00722E18"/>
    <w:rsid w:val="007417D3"/>
    <w:rsid w:val="007552BF"/>
    <w:rsid w:val="00765083"/>
    <w:rsid w:val="0077645F"/>
    <w:rsid w:val="00783559"/>
    <w:rsid w:val="00790F2C"/>
    <w:rsid w:val="00794186"/>
    <w:rsid w:val="007A0461"/>
    <w:rsid w:val="007A6818"/>
    <w:rsid w:val="007B540D"/>
    <w:rsid w:val="007C22F7"/>
    <w:rsid w:val="007D11E0"/>
    <w:rsid w:val="007D73C9"/>
    <w:rsid w:val="007E24FE"/>
    <w:rsid w:val="007E5E9C"/>
    <w:rsid w:val="007F0DBB"/>
    <w:rsid w:val="0080239E"/>
    <w:rsid w:val="00811042"/>
    <w:rsid w:val="008511ED"/>
    <w:rsid w:val="00852F44"/>
    <w:rsid w:val="00857FEF"/>
    <w:rsid w:val="008656A3"/>
    <w:rsid w:val="008748E1"/>
    <w:rsid w:val="00875E33"/>
    <w:rsid w:val="008C21D6"/>
    <w:rsid w:val="008D6733"/>
    <w:rsid w:val="008D675D"/>
    <w:rsid w:val="008E1404"/>
    <w:rsid w:val="008E1F1A"/>
    <w:rsid w:val="008F1B0A"/>
    <w:rsid w:val="00903D3A"/>
    <w:rsid w:val="009144CB"/>
    <w:rsid w:val="009232AF"/>
    <w:rsid w:val="00936E05"/>
    <w:rsid w:val="0094035C"/>
    <w:rsid w:val="00966AE5"/>
    <w:rsid w:val="00980CC0"/>
    <w:rsid w:val="00993A50"/>
    <w:rsid w:val="009B4422"/>
    <w:rsid w:val="009B46FF"/>
    <w:rsid w:val="009C634E"/>
    <w:rsid w:val="009C647C"/>
    <w:rsid w:val="009F15F1"/>
    <w:rsid w:val="00A16726"/>
    <w:rsid w:val="00A17258"/>
    <w:rsid w:val="00A227F4"/>
    <w:rsid w:val="00A3235E"/>
    <w:rsid w:val="00A84181"/>
    <w:rsid w:val="00A87B7E"/>
    <w:rsid w:val="00AB620F"/>
    <w:rsid w:val="00AE3DE8"/>
    <w:rsid w:val="00AE4A64"/>
    <w:rsid w:val="00AE697A"/>
    <w:rsid w:val="00AF7FC9"/>
    <w:rsid w:val="00B15383"/>
    <w:rsid w:val="00B20303"/>
    <w:rsid w:val="00B217FC"/>
    <w:rsid w:val="00B34FBA"/>
    <w:rsid w:val="00B421A5"/>
    <w:rsid w:val="00B510F6"/>
    <w:rsid w:val="00B5194F"/>
    <w:rsid w:val="00B5344A"/>
    <w:rsid w:val="00B81F8E"/>
    <w:rsid w:val="00B97DF5"/>
    <w:rsid w:val="00BA15D3"/>
    <w:rsid w:val="00BC3ABE"/>
    <w:rsid w:val="00BD036E"/>
    <w:rsid w:val="00BD1272"/>
    <w:rsid w:val="00BD721D"/>
    <w:rsid w:val="00BE69AB"/>
    <w:rsid w:val="00C03625"/>
    <w:rsid w:val="00C27E46"/>
    <w:rsid w:val="00C33A64"/>
    <w:rsid w:val="00C40893"/>
    <w:rsid w:val="00C47126"/>
    <w:rsid w:val="00C62737"/>
    <w:rsid w:val="00C66A8D"/>
    <w:rsid w:val="00C66CC9"/>
    <w:rsid w:val="00C73923"/>
    <w:rsid w:val="00CA32DC"/>
    <w:rsid w:val="00CE4507"/>
    <w:rsid w:val="00CF3C6C"/>
    <w:rsid w:val="00D162C7"/>
    <w:rsid w:val="00D261AE"/>
    <w:rsid w:val="00D370F1"/>
    <w:rsid w:val="00D52636"/>
    <w:rsid w:val="00D55922"/>
    <w:rsid w:val="00D60DCF"/>
    <w:rsid w:val="00D63C9E"/>
    <w:rsid w:val="00D80C7F"/>
    <w:rsid w:val="00D94DAA"/>
    <w:rsid w:val="00D960EA"/>
    <w:rsid w:val="00DA3319"/>
    <w:rsid w:val="00DB4E97"/>
    <w:rsid w:val="00DB7976"/>
    <w:rsid w:val="00DC518C"/>
    <w:rsid w:val="00DC53B7"/>
    <w:rsid w:val="00DD3184"/>
    <w:rsid w:val="00DE65AB"/>
    <w:rsid w:val="00DF019D"/>
    <w:rsid w:val="00DF6F1D"/>
    <w:rsid w:val="00DF75C2"/>
    <w:rsid w:val="00E06C46"/>
    <w:rsid w:val="00E219D4"/>
    <w:rsid w:val="00E26C35"/>
    <w:rsid w:val="00E273D7"/>
    <w:rsid w:val="00E30192"/>
    <w:rsid w:val="00E31455"/>
    <w:rsid w:val="00E326D8"/>
    <w:rsid w:val="00E338CA"/>
    <w:rsid w:val="00E40E0F"/>
    <w:rsid w:val="00E71E7E"/>
    <w:rsid w:val="00E74305"/>
    <w:rsid w:val="00E77369"/>
    <w:rsid w:val="00E81C8C"/>
    <w:rsid w:val="00E83D6F"/>
    <w:rsid w:val="00E86408"/>
    <w:rsid w:val="00E86D73"/>
    <w:rsid w:val="00E9010F"/>
    <w:rsid w:val="00E97134"/>
    <w:rsid w:val="00EA00BA"/>
    <w:rsid w:val="00EB0814"/>
    <w:rsid w:val="00EB3CE9"/>
    <w:rsid w:val="00EB409D"/>
    <w:rsid w:val="00EC7E03"/>
    <w:rsid w:val="00ED0058"/>
    <w:rsid w:val="00EE15D8"/>
    <w:rsid w:val="00EE58A9"/>
    <w:rsid w:val="00EF0CC1"/>
    <w:rsid w:val="00EF1BFE"/>
    <w:rsid w:val="00F169DB"/>
    <w:rsid w:val="00F222F8"/>
    <w:rsid w:val="00F25594"/>
    <w:rsid w:val="00F373E0"/>
    <w:rsid w:val="00F45018"/>
    <w:rsid w:val="00F52E26"/>
    <w:rsid w:val="00F56B34"/>
    <w:rsid w:val="00F95C0E"/>
    <w:rsid w:val="00F97B4D"/>
    <w:rsid w:val="00FA340B"/>
    <w:rsid w:val="0FD9D7ED"/>
    <w:rsid w:val="10F3BD26"/>
    <w:rsid w:val="12394596"/>
    <w:rsid w:val="15E8883D"/>
    <w:rsid w:val="1B4F1E7A"/>
    <w:rsid w:val="1B7346AD"/>
    <w:rsid w:val="1CD3EACF"/>
    <w:rsid w:val="27241F9E"/>
    <w:rsid w:val="28880FEA"/>
    <w:rsid w:val="290A6069"/>
    <w:rsid w:val="2A49406E"/>
    <w:rsid w:val="2E8DCC80"/>
    <w:rsid w:val="30B1D987"/>
    <w:rsid w:val="38BB6BFB"/>
    <w:rsid w:val="3B135C07"/>
    <w:rsid w:val="44A115F0"/>
    <w:rsid w:val="57788489"/>
    <w:rsid w:val="58169571"/>
    <w:rsid w:val="5A2F53E3"/>
    <w:rsid w:val="64D072BD"/>
    <w:rsid w:val="75B21BBC"/>
    <w:rsid w:val="7D7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3E2466"/>
  <w14:defaultImageDpi w14:val="300"/>
  <w15:docId w15:val="{091E6706-BF86-4815-9D64-9093AA2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5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94035C"/>
    <w:pPr>
      <w:ind w:left="720"/>
      <w:contextualSpacing/>
    </w:p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94035C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35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3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5C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26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26"/>
    <w:rPr>
      <w:rFonts w:eastAsiaTheme="minorHAnsi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33A6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E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9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9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2F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7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unhideWhenUsed/>
    <w:rsid w:val="00453D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20F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sid w:val="00B510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rgetbp.org/patient-measured-bp/implementing/smbp-device-loaner-program/" TargetMode="External"/><Relationship Id="rId18" Type="http://schemas.openxmlformats.org/officeDocument/2006/relationships/hyperlink" Target="https://targetbp.org/tools-downloads/?sort=topic&amp;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argetbp.org/patient-measured-bp/implementing/" TargetMode="External"/><Relationship Id="rId17" Type="http://schemas.openxmlformats.org/officeDocument/2006/relationships/hyperlink" Target="https://targetbp.org/tools_downloads/technique-quick-check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argetbp.org/patient-measured-bp/implementing/smbp-device-inventory-managemen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rgetbp.org/practice-assessment-tool/%20%5btargetbp.org%5d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targetbp.org/patient-measured-bp/implementing/smbp-data-collection-review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rgetbp.org/patient-measured-bp/implementing/smbp-training-patients/" TargetMode="External"/><Relationship Id="rId22" Type="http://schemas.openxmlformats.org/officeDocument/2006/relationships/footer" Target="foot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E8A7978AC424AAC1922D940686870" ma:contentTypeVersion="6" ma:contentTypeDescription="Create a new document." ma:contentTypeScope="" ma:versionID="a654c05632f4b3d720bb0ee4142618f3">
  <xsd:schema xmlns:xsd="http://www.w3.org/2001/XMLSchema" xmlns:xs="http://www.w3.org/2001/XMLSchema" xmlns:p="http://schemas.microsoft.com/office/2006/metadata/properties" xmlns:ns2="113a08ee-f2ee-4b4b-af0a-7044bd46594c" targetNamespace="http://schemas.microsoft.com/office/2006/metadata/properties" ma:root="true" ma:fieldsID="13abb692176983b1a8dbcf145d511d67" ns2:_="">
    <xsd:import namespace="113a08ee-f2ee-4b4b-af0a-7044bd4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08ee-f2ee-4b4b-af0a-7044bd465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2345-5AD8-43E0-B3B2-F2C6972B2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AE120-BAA7-44E4-9773-D66260C2B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a08ee-f2ee-4b4b-af0a-7044bd465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4FBAF-DB5B-46C0-BDBF-494497E06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D7398-C58D-430B-899A-49CE65B2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Links>
    <vt:vector size="54" baseType="variant">
      <vt:variant>
        <vt:i4>6094851</vt:i4>
      </vt:variant>
      <vt:variant>
        <vt:i4>21</vt:i4>
      </vt:variant>
      <vt:variant>
        <vt:i4>0</vt:i4>
      </vt:variant>
      <vt:variant>
        <vt:i4>5</vt:i4>
      </vt:variant>
      <vt:variant>
        <vt:lpwstr>https://targetbp.org/tools-downloads/?sort=topic&amp;</vt:lpwstr>
      </vt:variant>
      <vt:variant>
        <vt:lpwstr/>
      </vt:variant>
      <vt:variant>
        <vt:i4>7143495</vt:i4>
      </vt:variant>
      <vt:variant>
        <vt:i4>18</vt:i4>
      </vt:variant>
      <vt:variant>
        <vt:i4>0</vt:i4>
      </vt:variant>
      <vt:variant>
        <vt:i4>5</vt:i4>
      </vt:variant>
      <vt:variant>
        <vt:lpwstr>https://targetbp.org/tools_downloads/technique-quick-check/</vt:lpwstr>
      </vt:variant>
      <vt:variant>
        <vt:lpwstr/>
      </vt:variant>
      <vt:variant>
        <vt:i4>7733357</vt:i4>
      </vt:variant>
      <vt:variant>
        <vt:i4>15</vt:i4>
      </vt:variant>
      <vt:variant>
        <vt:i4>0</vt:i4>
      </vt:variant>
      <vt:variant>
        <vt:i4>5</vt:i4>
      </vt:variant>
      <vt:variant>
        <vt:lpwstr>https://targetbp.org/patient-measured-bp/implementing/smbp-device-inventory-management/</vt:lpwstr>
      </vt:variant>
      <vt:variant>
        <vt:lpwstr/>
      </vt:variant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https://targetbp.org/patient-measured-bp/implementing/smbp-data-collection-review/</vt:lpwstr>
      </vt:variant>
      <vt:variant>
        <vt:lpwstr/>
      </vt:variant>
      <vt:variant>
        <vt:i4>5439492</vt:i4>
      </vt:variant>
      <vt:variant>
        <vt:i4>9</vt:i4>
      </vt:variant>
      <vt:variant>
        <vt:i4>0</vt:i4>
      </vt:variant>
      <vt:variant>
        <vt:i4>5</vt:i4>
      </vt:variant>
      <vt:variant>
        <vt:lpwstr>https://targetbp.org/patient-measured-bp/implementing/smbp-training-patients/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https://targetbp.org/patient-measured-bp/implementing/smbp-device-loaner-program/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https://targetbp.org/patient-measured-bp/implementing/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https://targetbp.org/practice-assessment-tool/ %5btargetbp.org%5d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mailto:Megan.Fallon@health.ri.gov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Fallon</dc:creator>
  <cp:keywords/>
  <dc:description/>
  <cp:lastModifiedBy>Jade Arruda</cp:lastModifiedBy>
  <cp:revision>5</cp:revision>
  <cp:lastPrinted>2018-12-20T14:41:00Z</cp:lastPrinted>
  <dcterms:created xsi:type="dcterms:W3CDTF">2022-06-29T14:26:00Z</dcterms:created>
  <dcterms:modified xsi:type="dcterms:W3CDTF">2022-06-29T18:31:00Z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0x010100920E8A7978AC424AAC1922D940686870</vt:lpwstr>
  </property>
</Properties>
</file>